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C61B1B" w14:textId="77777777" w:rsidR="002C74D2" w:rsidRPr="00F0428E" w:rsidRDefault="00F0428E" w:rsidP="00F0428E">
      <w:pPr>
        <w:jc w:val="center"/>
        <w:rPr>
          <w:b/>
          <w:sz w:val="32"/>
          <w:u w:val="single"/>
        </w:rPr>
      </w:pPr>
      <w:r w:rsidRPr="00F0428E">
        <w:rPr>
          <w:b/>
          <w:sz w:val="32"/>
          <w:u w:val="single"/>
        </w:rPr>
        <w:t>Pracovní skupina pro síťování analytických útvarů (PSSAÚ)</w:t>
      </w:r>
    </w:p>
    <w:p w14:paraId="120ACE34" w14:textId="77777777" w:rsidR="00F0428E" w:rsidRPr="00F0428E" w:rsidRDefault="00F0428E" w:rsidP="00F0428E">
      <w:pPr>
        <w:jc w:val="center"/>
        <w:rPr>
          <w:b/>
          <w:sz w:val="32"/>
          <w:u w:val="single"/>
        </w:rPr>
      </w:pPr>
      <w:r w:rsidRPr="00F0428E">
        <w:rPr>
          <w:b/>
          <w:sz w:val="32"/>
          <w:u w:val="single"/>
        </w:rPr>
        <w:t>2. července 2020, MŽP</w:t>
      </w:r>
    </w:p>
    <w:p w14:paraId="439549E0" w14:textId="77777777" w:rsidR="00F0428E" w:rsidRDefault="00F0428E" w:rsidP="00F0428E"/>
    <w:p w14:paraId="513FFDED" w14:textId="77777777" w:rsidR="00F0428E" w:rsidRPr="00F0428E" w:rsidRDefault="00F0428E" w:rsidP="00F0428E">
      <w:pPr>
        <w:rPr>
          <w:b/>
        </w:rPr>
      </w:pPr>
      <w:r w:rsidRPr="00F0428E">
        <w:rPr>
          <w:b/>
        </w:rPr>
        <w:t>1) Představení evaluací a evaluační činnosti v rámci fondů EU (MMR</w:t>
      </w:r>
      <w:r>
        <w:rPr>
          <w:b/>
        </w:rPr>
        <w:t xml:space="preserve"> - NOK</w:t>
      </w:r>
      <w:r w:rsidRPr="00F0428E">
        <w:rPr>
          <w:b/>
        </w:rPr>
        <w:t>)</w:t>
      </w:r>
    </w:p>
    <w:p w14:paraId="1EFD47FD" w14:textId="1F78E821" w:rsidR="006827C2" w:rsidRPr="00F36C57" w:rsidRDefault="00F36C57" w:rsidP="00F0428E">
      <w:pPr>
        <w:pStyle w:val="Odstavecseseznamem"/>
        <w:numPr>
          <w:ilvl w:val="0"/>
          <w:numId w:val="1"/>
        </w:numPr>
        <w:rPr>
          <w:b/>
        </w:rPr>
      </w:pPr>
      <w:r w:rsidRPr="00F36C57">
        <w:rPr>
          <w:b/>
        </w:rPr>
        <w:t>E</w:t>
      </w:r>
      <w:r w:rsidR="00F0428E" w:rsidRPr="00F36C57">
        <w:rPr>
          <w:b/>
        </w:rPr>
        <w:t>valuace EU fondů</w:t>
      </w:r>
      <w:r w:rsidR="006827C2" w:rsidRPr="00F36C57">
        <w:rPr>
          <w:b/>
        </w:rPr>
        <w:t>:</w:t>
      </w:r>
      <w:r w:rsidR="00F0428E" w:rsidRPr="00F36C57">
        <w:rPr>
          <w:b/>
        </w:rPr>
        <w:t xml:space="preserve"> </w:t>
      </w:r>
    </w:p>
    <w:p w14:paraId="75BF750C" w14:textId="77777777" w:rsidR="006827C2" w:rsidRDefault="006827C2" w:rsidP="006827C2">
      <w:pPr>
        <w:pStyle w:val="Odstavecseseznamem"/>
        <w:numPr>
          <w:ilvl w:val="1"/>
          <w:numId w:val="1"/>
        </w:numPr>
      </w:pPr>
      <w:r>
        <w:t>Evaluace jsou p</w:t>
      </w:r>
      <w:r w:rsidR="00F0428E">
        <w:t>ovinné</w:t>
      </w:r>
      <w:r>
        <w:t xml:space="preserve"> na základě požadavku ze strany EU, koordinace evaluátorů byla zformalizována skrze pracovní skupiny na každém rezortu, kde se potkávají evaluátoři s gestory / navrhovateli programů, pro následný dopad evaluace je zároveň potřebovat formulovat doporučení, jak to změnit.</w:t>
      </w:r>
    </w:p>
    <w:p w14:paraId="4CFA39C8" w14:textId="77777777" w:rsidR="006827C2" w:rsidRDefault="006827C2" w:rsidP="006827C2">
      <w:pPr>
        <w:pStyle w:val="Odstavecseseznamem"/>
        <w:numPr>
          <w:ilvl w:val="1"/>
          <w:numId w:val="1"/>
        </w:numPr>
      </w:pPr>
      <w:r>
        <w:t>V praxi není nutné tolik rozlišovat, co je evaluace a co analýza</w:t>
      </w:r>
      <w:r w:rsidR="00B724E2">
        <w:t>, nově je NOK žádán i o jiné analýzy – zásadní je komunikace s vedením a budováním důvěry u manažerů</w:t>
      </w:r>
      <w:r>
        <w:t xml:space="preserve">. </w:t>
      </w:r>
      <w:r w:rsidR="00B724E2">
        <w:t>Při zadávání mimo státní správu je pak nutné taktéž zpětná vazba.</w:t>
      </w:r>
    </w:p>
    <w:p w14:paraId="36878134" w14:textId="77777777" w:rsidR="006827C2" w:rsidRDefault="006827C2" w:rsidP="006827C2">
      <w:pPr>
        <w:pStyle w:val="Odstavecseseznamem"/>
        <w:numPr>
          <w:ilvl w:val="1"/>
          <w:numId w:val="1"/>
        </w:numPr>
      </w:pPr>
      <w:r>
        <w:t>V tomto programovacím období se očekává až 400 evaluací, zatím provedeno 117 externě a 54 interních.</w:t>
      </w:r>
    </w:p>
    <w:p w14:paraId="07746FAD" w14:textId="77777777" w:rsidR="006827C2" w:rsidRDefault="006827C2" w:rsidP="006827C2">
      <w:pPr>
        <w:pStyle w:val="Odstavecseseznamem"/>
        <w:numPr>
          <w:ilvl w:val="1"/>
          <w:numId w:val="1"/>
        </w:numPr>
      </w:pPr>
      <w:r>
        <w:t xml:space="preserve">Zásadní je umět analýzu / evaluaci komunikovat – doporučují vytvořit jednu stránku se shrnutím pro vedení a interaktivní formáty prezentací (např. </w:t>
      </w:r>
      <w:proofErr w:type="spellStart"/>
      <w:r>
        <w:t>world</w:t>
      </w:r>
      <w:proofErr w:type="spellEnd"/>
      <w:r>
        <w:t xml:space="preserve"> café, které podporuje diskuzi). Často stačí se ze strany navrhovatelů vcítit do role příjemce.</w:t>
      </w:r>
    </w:p>
    <w:p w14:paraId="18ECF3C7" w14:textId="77777777" w:rsidR="00B724E2" w:rsidRDefault="00B724E2" w:rsidP="006827C2">
      <w:pPr>
        <w:pStyle w:val="Odstavecseseznamem"/>
        <w:numPr>
          <w:ilvl w:val="1"/>
          <w:numId w:val="1"/>
        </w:numPr>
      </w:pPr>
      <w:r>
        <w:t xml:space="preserve">Evropská komise chce </w:t>
      </w:r>
      <w:proofErr w:type="spellStart"/>
      <w:r>
        <w:t>kontrafaktuální</w:t>
      </w:r>
      <w:proofErr w:type="spellEnd"/>
      <w:r>
        <w:t xml:space="preserve"> metody, nicméně ne vždy jsou tolik vypovídající</w:t>
      </w:r>
      <w:r w:rsidR="003B3A21">
        <w:t xml:space="preserve"> (nevypovídající kontrolní skupina)</w:t>
      </w:r>
      <w:r>
        <w:t xml:space="preserve">, v ČR je problém expertní úroveň. Komise však pro to nabízí školení a peer </w:t>
      </w:r>
      <w:proofErr w:type="spellStart"/>
      <w:r>
        <w:t>review</w:t>
      </w:r>
      <w:proofErr w:type="spellEnd"/>
      <w:r>
        <w:t xml:space="preserve"> v rámci EU. V ČR formální nastavení peer </w:t>
      </w:r>
      <w:proofErr w:type="spellStart"/>
      <w:r>
        <w:t>review</w:t>
      </w:r>
      <w:proofErr w:type="spellEnd"/>
      <w:r>
        <w:t xml:space="preserve"> není.</w:t>
      </w:r>
    </w:p>
    <w:p w14:paraId="5550C80C" w14:textId="77777777" w:rsidR="00B724E2" w:rsidRDefault="00B724E2" w:rsidP="006827C2">
      <w:pPr>
        <w:pStyle w:val="Odstavecseseznamem"/>
        <w:numPr>
          <w:ilvl w:val="1"/>
          <w:numId w:val="1"/>
        </w:numPr>
      </w:pPr>
      <w:r>
        <w:t xml:space="preserve">Zásadním problémem je, že se nedaří propojit evaluace s nastavováním nového období – vytváří jej třeba jiné útvary, než které pracovali s evaluátory. </w:t>
      </w:r>
    </w:p>
    <w:p w14:paraId="17175B63" w14:textId="4E05EDC0" w:rsidR="006827C2" w:rsidRPr="00F36C57" w:rsidRDefault="006827C2" w:rsidP="006827C2">
      <w:pPr>
        <w:pStyle w:val="Odstavecseseznamem"/>
        <w:numPr>
          <w:ilvl w:val="0"/>
          <w:numId w:val="1"/>
        </w:numPr>
        <w:rPr>
          <w:b/>
        </w:rPr>
      </w:pPr>
      <w:r w:rsidRPr="00F36C57">
        <w:rPr>
          <w:b/>
        </w:rPr>
        <w:t>Budování a udržování komunity -&gt; založení České evaluační společnosti (</w:t>
      </w:r>
      <w:hyperlink r:id="rId8" w:history="1">
        <w:r w:rsidRPr="00F36C57">
          <w:rPr>
            <w:rStyle w:val="Hypertextovodkaz"/>
            <w:b/>
          </w:rPr>
          <w:t>https://czecheval.cz/</w:t>
        </w:r>
      </w:hyperlink>
      <w:r w:rsidR="00F36C57" w:rsidRPr="00F36C57">
        <w:rPr>
          <w:b/>
        </w:rPr>
        <w:t>):</w:t>
      </w:r>
    </w:p>
    <w:p w14:paraId="7619B56F" w14:textId="77777777" w:rsidR="00B724E2" w:rsidRDefault="00B724E2" w:rsidP="006827C2">
      <w:pPr>
        <w:pStyle w:val="Odstavecseseznamem"/>
        <w:numPr>
          <w:ilvl w:val="1"/>
          <w:numId w:val="1"/>
        </w:numPr>
      </w:pPr>
      <w:r>
        <w:t>Propojení akademiků, státní správy a volných profesionálů.</w:t>
      </w:r>
    </w:p>
    <w:p w14:paraId="535266AC" w14:textId="77777777" w:rsidR="00B724E2" w:rsidRDefault="00B724E2" w:rsidP="006827C2">
      <w:pPr>
        <w:pStyle w:val="Odstavecseseznamem"/>
        <w:numPr>
          <w:ilvl w:val="1"/>
          <w:numId w:val="1"/>
        </w:numPr>
      </w:pPr>
      <w:r>
        <w:t xml:space="preserve">Tematické zaměření na ESI fondy, rozvojovou spolupráci, sociální politiku, vzdělávání, regionální rozvoj a </w:t>
      </w:r>
      <w:proofErr w:type="spellStart"/>
      <w:r>
        <w:t>governance</w:t>
      </w:r>
      <w:proofErr w:type="spellEnd"/>
      <w:r>
        <w:t>.</w:t>
      </w:r>
    </w:p>
    <w:p w14:paraId="1B39BE5C" w14:textId="77777777" w:rsidR="006827C2" w:rsidRDefault="00B724E2" w:rsidP="006827C2">
      <w:pPr>
        <w:pStyle w:val="Odstavecseseznamem"/>
        <w:numPr>
          <w:ilvl w:val="1"/>
          <w:numId w:val="1"/>
        </w:numPr>
      </w:pPr>
      <w:r>
        <w:t>Snaha o vytváření standardů pro evaluace - s</w:t>
      </w:r>
      <w:r w:rsidR="006827C2">
        <w:t>íťování má velký vliv na sdílení praxe a promítá se do kvality evaluací.</w:t>
      </w:r>
    </w:p>
    <w:p w14:paraId="11489C27" w14:textId="77777777" w:rsidR="006827C2" w:rsidRDefault="006827C2" w:rsidP="006827C2">
      <w:pPr>
        <w:pStyle w:val="Odstavecseseznamem"/>
        <w:numPr>
          <w:ilvl w:val="1"/>
          <w:numId w:val="1"/>
        </w:numPr>
      </w:pPr>
      <w:r>
        <w:t>Evaluátoři často trpí vyhořením – převažuje pocit, že o výsledky nikdo nemá zájem a reakce jsou spíše negativní jak ze strany vedení, tak na pracovní úrovni.</w:t>
      </w:r>
    </w:p>
    <w:p w14:paraId="299B37A5" w14:textId="77777777" w:rsidR="006827C2" w:rsidRDefault="006827C2" w:rsidP="006827C2">
      <w:pPr>
        <w:pStyle w:val="Odstavecseseznamem"/>
        <w:numPr>
          <w:ilvl w:val="1"/>
          <w:numId w:val="1"/>
        </w:numPr>
      </w:pPr>
      <w:r>
        <w:t>Budování vztahů s Evropskou komisí a s OECD.</w:t>
      </w:r>
    </w:p>
    <w:p w14:paraId="42B2869D" w14:textId="77777777" w:rsidR="00B724E2" w:rsidRDefault="006827C2" w:rsidP="006827C2">
      <w:pPr>
        <w:pStyle w:val="Odstavecseseznamem"/>
        <w:numPr>
          <w:ilvl w:val="1"/>
          <w:numId w:val="1"/>
        </w:numPr>
      </w:pPr>
      <w:r>
        <w:t>Vytvoření průvodce evaluátora</w:t>
      </w:r>
      <w:r w:rsidR="00B724E2">
        <w:t xml:space="preserve"> pro nové evaluátory, vhodné i pro zadavatele</w:t>
      </w:r>
      <w:r>
        <w:t>.</w:t>
      </w:r>
      <w:r w:rsidR="00B724E2">
        <w:rPr>
          <w:rStyle w:val="Znakapoznpodarou"/>
        </w:rPr>
        <w:footnoteReference w:id="1"/>
      </w:r>
    </w:p>
    <w:p w14:paraId="55E30E6C" w14:textId="77777777" w:rsidR="006B6BFA" w:rsidRDefault="006B6BFA" w:rsidP="006827C2">
      <w:pPr>
        <w:pStyle w:val="Odstavecseseznamem"/>
        <w:numPr>
          <w:ilvl w:val="1"/>
          <w:numId w:val="1"/>
        </w:numPr>
      </w:pPr>
      <w:r>
        <w:t xml:space="preserve">Nabízí konference, vzdělávání, </w:t>
      </w:r>
      <w:proofErr w:type="spellStart"/>
      <w:r>
        <w:t>networking</w:t>
      </w:r>
      <w:proofErr w:type="spellEnd"/>
      <w:r>
        <w:t xml:space="preserve">, </w:t>
      </w:r>
      <w:proofErr w:type="spellStart"/>
      <w:r>
        <w:t>advocacy</w:t>
      </w:r>
      <w:proofErr w:type="spellEnd"/>
      <w:r>
        <w:t xml:space="preserve"> – kdo má zájem se může přidat, taktéž mají zájem o příspěvky na blog.</w:t>
      </w:r>
    </w:p>
    <w:p w14:paraId="7C6DFD58" w14:textId="3FC8D600" w:rsidR="00F36C57" w:rsidRPr="00F36C57" w:rsidRDefault="00F36C57" w:rsidP="00F36C57">
      <w:pPr>
        <w:pStyle w:val="Odstavecseseznamem"/>
        <w:numPr>
          <w:ilvl w:val="0"/>
          <w:numId w:val="1"/>
        </w:numPr>
        <w:rPr>
          <w:b/>
        </w:rPr>
      </w:pPr>
      <w:r w:rsidRPr="00F36C57">
        <w:rPr>
          <w:b/>
        </w:rPr>
        <w:t xml:space="preserve">Prezentace k práci s open-daty (na pracovní skupině neprezentováno): </w:t>
      </w:r>
      <w:hyperlink r:id="rId9" w:history="1">
        <w:r w:rsidRPr="00F36C57">
          <w:rPr>
            <w:rStyle w:val="Hypertextovodkaz"/>
            <w:b/>
          </w:rPr>
          <w:t>https://petrbouchal.github.io/slides/pssau2020-07/</w:t>
        </w:r>
      </w:hyperlink>
      <w:r w:rsidRPr="00F36C57">
        <w:rPr>
          <w:b/>
        </w:rPr>
        <w:t xml:space="preserve"> </w:t>
      </w:r>
    </w:p>
    <w:p w14:paraId="02AD39D4" w14:textId="77777777" w:rsidR="00F0428E" w:rsidRDefault="00F0428E" w:rsidP="00F0428E"/>
    <w:p w14:paraId="4A901F68" w14:textId="77777777" w:rsidR="00F0428E" w:rsidRPr="00F0428E" w:rsidRDefault="00F0428E" w:rsidP="003B3A21">
      <w:pPr>
        <w:keepNext/>
        <w:rPr>
          <w:b/>
        </w:rPr>
      </w:pPr>
      <w:r w:rsidRPr="00F0428E">
        <w:rPr>
          <w:b/>
        </w:rPr>
        <w:lastRenderedPageBreak/>
        <w:t>2) Práce s daty na technologické agentuře ČR a evaluace programů (TAČR)</w:t>
      </w:r>
    </w:p>
    <w:p w14:paraId="1611A4C4" w14:textId="77777777" w:rsidR="003B3A21" w:rsidRDefault="003B3A21" w:rsidP="003B3A21">
      <w:pPr>
        <w:pStyle w:val="Odstavecseseznamem"/>
        <w:numPr>
          <w:ilvl w:val="0"/>
          <w:numId w:val="2"/>
        </w:numPr>
      </w:pPr>
      <w:r>
        <w:t xml:space="preserve">Dlouhodobá snaha o open-data, databáze INKA je založena na primárním sběru dat, </w:t>
      </w:r>
      <w:proofErr w:type="spellStart"/>
      <w:r>
        <w:t>Magnusweb</w:t>
      </w:r>
      <w:proofErr w:type="spellEnd"/>
      <w:r>
        <w:t xml:space="preserve"> – data podniků o inovacích, </w:t>
      </w:r>
      <w:proofErr w:type="spellStart"/>
      <w:r>
        <w:t>Starfos</w:t>
      </w:r>
      <w:proofErr w:type="spellEnd"/>
      <w:r>
        <w:t>.</w:t>
      </w:r>
    </w:p>
    <w:p w14:paraId="3DEA9E5D" w14:textId="77777777" w:rsidR="003B3A21" w:rsidRDefault="003B3A21" w:rsidP="003B3A21">
      <w:pPr>
        <w:pStyle w:val="Odstavecseseznamem"/>
        <w:numPr>
          <w:ilvl w:val="0"/>
          <w:numId w:val="2"/>
        </w:numPr>
      </w:pPr>
      <w:r>
        <w:t xml:space="preserve">INKA slouží k mapování inovačních kapacit v ČR na základě řízených rozhovorů. Zatím existují pouze 2 časové body, zajímavé bude sledovat trend, až se databáze bude v budoucnu dále plnit. Nezobrazují se data, pokud vzorek obsahuje 3 a méně podniků. </w:t>
      </w:r>
    </w:p>
    <w:p w14:paraId="6CCA213C" w14:textId="77777777" w:rsidR="003B3A21" w:rsidRDefault="003B3A21" w:rsidP="003B3A21">
      <w:pPr>
        <w:pStyle w:val="Odstavecseseznamem"/>
        <w:numPr>
          <w:ilvl w:val="0"/>
          <w:numId w:val="2"/>
        </w:numPr>
      </w:pPr>
      <w:r>
        <w:t xml:space="preserve">Budování systému sledování a implementace výstupů výzkumu pod TAČR, snaha analyzovat napojení a propojení mezi aktéry. </w:t>
      </w:r>
    </w:p>
    <w:p w14:paraId="2169F7A1" w14:textId="77777777" w:rsidR="003B3A21" w:rsidRDefault="003B3A21" w:rsidP="003B3A21">
      <w:pPr>
        <w:pStyle w:val="Odstavecseseznamem"/>
        <w:numPr>
          <w:ilvl w:val="0"/>
          <w:numId w:val="2"/>
        </w:numPr>
      </w:pPr>
      <w:r>
        <w:t xml:space="preserve">TAČR prováděl analýzu </w:t>
      </w:r>
      <w:proofErr w:type="spellStart"/>
      <w:r>
        <w:t>offshoringu</w:t>
      </w:r>
      <w:proofErr w:type="spellEnd"/>
      <w:r>
        <w:t xml:space="preserve"> patentů – panuje dojem, že je v ČR málo inovací, nicméně ukazatel patentů není přesný, protože dochází k jeho patentování v zahraničí, ačkoliv inovace vznikla v ČR. Dle výsledku TAČR se cca 25% výsledků patentuje mimo ČR.</w:t>
      </w:r>
    </w:p>
    <w:p w14:paraId="794DA6A3" w14:textId="77777777" w:rsidR="003B3A21" w:rsidRDefault="003B3A21" w:rsidP="003B3A21">
      <w:pPr>
        <w:pStyle w:val="Odstavecseseznamem"/>
        <w:numPr>
          <w:ilvl w:val="0"/>
          <w:numId w:val="2"/>
        </w:numPr>
      </w:pPr>
      <w:r>
        <w:t>TAČR má práci s daty oddělení strategií a analýz, 7 lidí a 2 externisti + IT tým je samostatně.</w:t>
      </w:r>
    </w:p>
    <w:p w14:paraId="32FEC289" w14:textId="77777777" w:rsidR="003B3A21" w:rsidRDefault="003B3A21" w:rsidP="003B3A21">
      <w:pPr>
        <w:pStyle w:val="Odstavecseseznamem"/>
        <w:numPr>
          <w:ilvl w:val="0"/>
          <w:numId w:val="2"/>
        </w:numPr>
      </w:pPr>
      <w:r>
        <w:t>Dále poznámky k definici inovativní firmy – dle TAČR se musí jednat o dlouholeté vedení určitým způsobem a směrem.</w:t>
      </w:r>
    </w:p>
    <w:p w14:paraId="7279DD67" w14:textId="77777777" w:rsidR="003B3A21" w:rsidRDefault="003B3A21" w:rsidP="003B3A21">
      <w:pPr>
        <w:pStyle w:val="Odstavecseseznamem"/>
        <w:numPr>
          <w:ilvl w:val="0"/>
          <w:numId w:val="2"/>
        </w:numPr>
      </w:pPr>
      <w:r>
        <w:t>V případě analýz byla diskutována špatné kvality a drahosti výstupů velkých konzultačních firem.</w:t>
      </w:r>
    </w:p>
    <w:p w14:paraId="482FBE3D" w14:textId="77777777" w:rsidR="00F0428E" w:rsidRPr="00F0428E" w:rsidRDefault="00F0428E" w:rsidP="00F0428E">
      <w:pPr>
        <w:rPr>
          <w:b/>
        </w:rPr>
      </w:pPr>
      <w:r w:rsidRPr="00F0428E">
        <w:rPr>
          <w:b/>
        </w:rPr>
        <w:t xml:space="preserve">3) Evaluace nástrojů na ochranu ovzduší v ČR - poplatek za znečištění ovzduší a emisní limity (OECD/MŽP) </w:t>
      </w:r>
    </w:p>
    <w:p w14:paraId="6AA213E2" w14:textId="77777777" w:rsidR="00F0428E" w:rsidRDefault="002E2773" w:rsidP="002E2773">
      <w:pPr>
        <w:pStyle w:val="Odstavecseseznamem"/>
        <w:numPr>
          <w:ilvl w:val="0"/>
          <w:numId w:val="4"/>
        </w:numPr>
      </w:pPr>
      <w:r>
        <w:t xml:space="preserve">Studie provedená v rámci vyslání do OECD – program </w:t>
      </w:r>
      <w:proofErr w:type="spellStart"/>
      <w:r>
        <w:t>staff</w:t>
      </w:r>
      <w:proofErr w:type="spellEnd"/>
      <w:r>
        <w:t xml:space="preserve"> on </w:t>
      </w:r>
      <w:proofErr w:type="spellStart"/>
      <w:r>
        <w:t>loan</w:t>
      </w:r>
      <w:proofErr w:type="spellEnd"/>
      <w:r>
        <w:t xml:space="preserve">: </w:t>
      </w:r>
      <w:hyperlink r:id="rId10" w:history="1">
        <w:r w:rsidRPr="0023190F">
          <w:rPr>
            <w:rStyle w:val="Hypertextovodkaz"/>
          </w:rPr>
          <w:t>https://www.mvcr.cz/sluzba/clanek/program-stazi-oecd-staff-on-loan.aspx</w:t>
        </w:r>
      </w:hyperlink>
      <w:r>
        <w:t xml:space="preserve"> </w:t>
      </w:r>
    </w:p>
    <w:p w14:paraId="66E1AA41" w14:textId="3EB6B903" w:rsidR="002E2773" w:rsidRDefault="002E2773" w:rsidP="002E2773">
      <w:pPr>
        <w:pStyle w:val="Odstavecseseznamem"/>
        <w:numPr>
          <w:ilvl w:val="0"/>
          <w:numId w:val="4"/>
        </w:numPr>
      </w:pPr>
      <w:r>
        <w:t xml:space="preserve">Studie čerpala z administrativních dat, jsou hodnotná, byť je s nimi pro analytika často hodně práce – je důležitá data konzultovat s experty, kteří jejich sběr zajišťují a upravit (vytřídit apod.), a dále pochopit kde je jejich výpovědní </w:t>
      </w:r>
      <w:r w:rsidR="00A36533">
        <w:t>hodnota a kde jsou limity</w:t>
      </w:r>
      <w:r>
        <w:t>.</w:t>
      </w:r>
    </w:p>
    <w:p w14:paraId="02E481A2" w14:textId="19BB43D3" w:rsidR="00A36533" w:rsidRDefault="00A36533" w:rsidP="00A36533">
      <w:pPr>
        <w:pStyle w:val="Odstavecseseznamem"/>
        <w:numPr>
          <w:ilvl w:val="0"/>
          <w:numId w:val="4"/>
        </w:numPr>
      </w:pPr>
      <w:r>
        <w:t>Studie obsahuje p</w:t>
      </w:r>
      <w:r w:rsidRPr="00A36533">
        <w:t>orovnání úrovně emisních limitů se skutečně naměřenými hodnotami zdrojů</w:t>
      </w:r>
      <w:r>
        <w:t>, v</w:t>
      </w:r>
      <w:r w:rsidRPr="00A36533">
        <w:t>yhodnocení míry ochrany starších znečišťujících zdrojů (</w:t>
      </w:r>
      <w:proofErr w:type="spellStart"/>
      <w:r w:rsidRPr="00A36533">
        <w:t>vintage</w:t>
      </w:r>
      <w:proofErr w:type="spellEnd"/>
      <w:r w:rsidRPr="00A36533">
        <w:t xml:space="preserve"> </w:t>
      </w:r>
      <w:proofErr w:type="spellStart"/>
      <w:r w:rsidRPr="00A36533">
        <w:t>differentiated</w:t>
      </w:r>
      <w:proofErr w:type="spellEnd"/>
      <w:r w:rsidRPr="00A36533">
        <w:t xml:space="preserve"> </w:t>
      </w:r>
      <w:proofErr w:type="spellStart"/>
      <w:r w:rsidRPr="00A36533">
        <w:t>regulation</w:t>
      </w:r>
      <w:proofErr w:type="spellEnd"/>
      <w:r w:rsidRPr="00A36533">
        <w:t xml:space="preserve"> / </w:t>
      </w:r>
      <w:proofErr w:type="spellStart"/>
      <w:r w:rsidRPr="00A36533">
        <w:t>grandfathering</w:t>
      </w:r>
      <w:proofErr w:type="spellEnd"/>
      <w:r w:rsidRPr="00A36533">
        <w:t>)</w:t>
      </w:r>
      <w:r>
        <w:t>, p</w:t>
      </w:r>
      <w:r w:rsidRPr="00A36533">
        <w:t>orovnání designu poplatku s ekon</w:t>
      </w:r>
      <w:bookmarkStart w:id="0" w:name="_GoBack"/>
      <w:bookmarkEnd w:id="0"/>
      <w:r w:rsidRPr="00A36533">
        <w:t>omickou teorií</w:t>
      </w:r>
      <w:r>
        <w:t>.</w:t>
      </w:r>
    </w:p>
    <w:p w14:paraId="6DCCBB24" w14:textId="1E40B142" w:rsidR="00A36533" w:rsidRDefault="00A36533" w:rsidP="00A36533">
      <w:pPr>
        <w:pStyle w:val="Odstavecseseznamem"/>
        <w:numPr>
          <w:ilvl w:val="0"/>
          <w:numId w:val="4"/>
        </w:numPr>
      </w:pPr>
      <w:r>
        <w:t xml:space="preserve">Závěry studie poukazují </w:t>
      </w:r>
      <w:r w:rsidR="00D439C5">
        <w:t xml:space="preserve">zejm. </w:t>
      </w:r>
      <w:r>
        <w:t>na to, že vývoj v praxi předbíhá zpřísňování emisních limitů – v důsledku to vede k příliš velké slevě na poplatku, která je založená na poměru skutečně naměřených hodnot vůči emisnímu limitu.</w:t>
      </w:r>
    </w:p>
    <w:p w14:paraId="7A4D61B1" w14:textId="77777777" w:rsidR="00F0428E" w:rsidRDefault="00F0428E" w:rsidP="00F0428E">
      <w:pPr>
        <w:rPr>
          <w:b/>
        </w:rPr>
      </w:pPr>
      <w:r w:rsidRPr="00F0428E">
        <w:rPr>
          <w:b/>
        </w:rPr>
        <w:t>4) Prezentace tabulky se souhrnným přehledem o fiskálních opatřeních přijatých členskými státy EU-27 a Spojeným královstvím v reakci na pandemii COVID-19 (ÚV)</w:t>
      </w:r>
    </w:p>
    <w:p w14:paraId="05A9BA97" w14:textId="77777777" w:rsidR="004F14A1" w:rsidRDefault="00B93E9B" w:rsidP="004F14A1">
      <w:pPr>
        <w:pStyle w:val="Odstavecseseznamem"/>
        <w:numPr>
          <w:ilvl w:val="0"/>
          <w:numId w:val="3"/>
        </w:numPr>
      </w:pPr>
      <w:hyperlink r:id="rId11" w:history="1">
        <w:r w:rsidR="004F14A1" w:rsidRPr="0023190F">
          <w:rPr>
            <w:rStyle w:val="Hypertextovodkaz"/>
          </w:rPr>
          <w:t>https://www.vlada.cz/cz/evropske-zalezitosti/aktualne/ekonomicka-fiskalni-opatreni-clenskych-statu-eu-27-a-spojeneho-kralovstvi-v-reakci-na-pandemii-covid-19-181263/</w:t>
        </w:r>
      </w:hyperlink>
      <w:r w:rsidR="004F14A1">
        <w:t xml:space="preserve"> </w:t>
      </w:r>
    </w:p>
    <w:p w14:paraId="5B67ECEC" w14:textId="77777777" w:rsidR="00887102" w:rsidRDefault="00887102" w:rsidP="00887102">
      <w:pPr>
        <w:pStyle w:val="Odstavecseseznamem"/>
        <w:numPr>
          <w:ilvl w:val="0"/>
          <w:numId w:val="3"/>
        </w:numPr>
      </w:pPr>
      <w:r w:rsidRPr="00887102">
        <w:t xml:space="preserve">Představení </w:t>
      </w:r>
      <w:r>
        <w:t xml:space="preserve">a popis tabulek, které slouží ke srovnání fiskálních opatření členských států v souvislosti s pandemií </w:t>
      </w:r>
      <w:proofErr w:type="spellStart"/>
      <w:r>
        <w:t>koronaviru</w:t>
      </w:r>
      <w:proofErr w:type="spellEnd"/>
      <w:r>
        <w:t xml:space="preserve">. Shrnuje výstupy zejm. OECD, IMF a </w:t>
      </w:r>
      <w:proofErr w:type="spellStart"/>
      <w:r>
        <w:t>Bruegellu</w:t>
      </w:r>
      <w:proofErr w:type="spellEnd"/>
      <w:r>
        <w:t>.</w:t>
      </w:r>
    </w:p>
    <w:p w14:paraId="3CF9112C" w14:textId="77777777" w:rsidR="00887102" w:rsidRPr="00887102" w:rsidRDefault="00887102" w:rsidP="00887102">
      <w:pPr>
        <w:pStyle w:val="Odstavecseseznamem"/>
        <w:numPr>
          <w:ilvl w:val="0"/>
          <w:numId w:val="3"/>
        </w:numPr>
      </w:pPr>
      <w:r>
        <w:t xml:space="preserve">Do budoucna není kapacita tuto </w:t>
      </w:r>
      <w:proofErr w:type="spellStart"/>
      <w:r>
        <w:t>minidatabázi</w:t>
      </w:r>
      <w:proofErr w:type="spellEnd"/>
      <w:r>
        <w:t xml:space="preserve"> udržovat aktuální.</w:t>
      </w:r>
    </w:p>
    <w:sectPr w:rsidR="00887102" w:rsidRPr="00887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BE1C0F" w14:textId="77777777" w:rsidR="00075983" w:rsidRDefault="00075983" w:rsidP="00B724E2">
      <w:pPr>
        <w:spacing w:after="0" w:line="240" w:lineRule="auto"/>
      </w:pPr>
      <w:r>
        <w:separator/>
      </w:r>
    </w:p>
  </w:endnote>
  <w:endnote w:type="continuationSeparator" w:id="0">
    <w:p w14:paraId="0AAB4516" w14:textId="77777777" w:rsidR="00075983" w:rsidRDefault="00075983" w:rsidP="00B72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9FC40F" w14:textId="77777777" w:rsidR="00075983" w:rsidRDefault="00075983" w:rsidP="00B724E2">
      <w:pPr>
        <w:spacing w:after="0" w:line="240" w:lineRule="auto"/>
      </w:pPr>
      <w:r>
        <w:separator/>
      </w:r>
    </w:p>
  </w:footnote>
  <w:footnote w:type="continuationSeparator" w:id="0">
    <w:p w14:paraId="2C8ED727" w14:textId="77777777" w:rsidR="00075983" w:rsidRDefault="00075983" w:rsidP="00B724E2">
      <w:pPr>
        <w:spacing w:after="0" w:line="240" w:lineRule="auto"/>
      </w:pPr>
      <w:r>
        <w:continuationSeparator/>
      </w:r>
    </w:p>
  </w:footnote>
  <w:footnote w:id="1">
    <w:p w14:paraId="64E67FDA" w14:textId="77777777" w:rsidR="00B724E2" w:rsidRDefault="00B724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23190F">
          <w:rPr>
            <w:rStyle w:val="Hypertextovodkaz"/>
          </w:rPr>
          <w:t>https://www.google.com/url?sa=t&amp;rct=j&amp;q=&amp;esrc=s&amp;source=web&amp;cd=&amp;ved=2ahUKEwi14MewndTqAhUS3aQKHf0SCOQQFjACegQIAxAB&amp;url=https%3A%2F%2Fwww.dotaceeu.cz%2Fgetmedia%2F05897e7c-7a52-482c-a3d4-cf29369e0cbe%2FPruvodce-evaluatora_2020.pdf.aspx&amp;usg=AOvVaw1919FXMWGrfofMbz4lNeFU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A23E1"/>
    <w:multiLevelType w:val="hybridMultilevel"/>
    <w:tmpl w:val="438E2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454CF1"/>
    <w:multiLevelType w:val="hybridMultilevel"/>
    <w:tmpl w:val="EF540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233749"/>
    <w:multiLevelType w:val="hybridMultilevel"/>
    <w:tmpl w:val="741CE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42828"/>
    <w:multiLevelType w:val="hybridMultilevel"/>
    <w:tmpl w:val="75CA20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CD5"/>
    <w:rsid w:val="00075983"/>
    <w:rsid w:val="002C74D2"/>
    <w:rsid w:val="002E2773"/>
    <w:rsid w:val="003B3A21"/>
    <w:rsid w:val="003C5CD5"/>
    <w:rsid w:val="004F14A1"/>
    <w:rsid w:val="006827C2"/>
    <w:rsid w:val="006B6BFA"/>
    <w:rsid w:val="00887102"/>
    <w:rsid w:val="00A36533"/>
    <w:rsid w:val="00B724E2"/>
    <w:rsid w:val="00B80A1C"/>
    <w:rsid w:val="00B93E9B"/>
    <w:rsid w:val="00D439C5"/>
    <w:rsid w:val="00F0428E"/>
    <w:rsid w:val="00F24A0E"/>
    <w:rsid w:val="00F36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12C0E"/>
  <w15:chartTrackingRefBased/>
  <w15:docId w15:val="{1A780915-D056-4B8D-BEB7-CB3319F73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0428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6827C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724E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724E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724E2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80A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80A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80A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80A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80A1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0A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A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zecheval.cz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lada.cz/cz/evropske-zalezitosti/aktualne/ekonomicka-fiskalni-opatreni-clenskych-statu-eu-27-a-spojeneho-kralovstvi-v-reakci-na-pandemii-covid-19-181263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mvcr.cz/sluzba/clanek/program-stazi-oecd-staff-on-loan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etrbouchal.github.io/slides/pssau2020-07/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sa=t&amp;rct=j&amp;q=&amp;esrc=s&amp;source=web&amp;cd=&amp;ved=2ahUKEwi14MewndTqAhUS3aQKHf0SCOQQFjACegQIAxAB&amp;url=https%3A%2F%2Fwww.dotaceeu.cz%2Fgetmedia%2F05897e7c-7a52-482c-a3d4-cf29369e0cbe%2FPruvodce-evaluatora_2020.pdf.aspx&amp;usg=AOvVaw1919FXMWGrfofMbz4lNeF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767B4-C96C-4D23-B561-A6D15D8C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785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Ju</dc:creator>
  <cp:keywords/>
  <dc:description/>
  <cp:lastModifiedBy>Richard Ju</cp:lastModifiedBy>
  <cp:revision>12</cp:revision>
  <dcterms:created xsi:type="dcterms:W3CDTF">2020-07-17T11:21:00Z</dcterms:created>
  <dcterms:modified xsi:type="dcterms:W3CDTF">2021-01-14T16:05:00Z</dcterms:modified>
</cp:coreProperties>
</file>