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78" w:rsidRPr="00C01C64" w:rsidRDefault="003071D4" w:rsidP="00510A2E">
      <w:pPr>
        <w:spacing w:before="240" w:after="12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Zápis ze 41</w:t>
      </w:r>
      <w:r w:rsidR="00852578" w:rsidRPr="00C01C64">
        <w:rPr>
          <w:rFonts w:ascii="Arial" w:hAnsi="Arial" w:cs="Arial"/>
          <w:sz w:val="28"/>
          <w:szCs w:val="28"/>
        </w:rPr>
        <w:t>. zasedání Výboru pro socioekonomický rozvoj RVUR</w:t>
      </w:r>
    </w:p>
    <w:p w:rsidR="00852578" w:rsidRPr="003D7BA0" w:rsidRDefault="00852578" w:rsidP="00510A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96A28" w:rsidRPr="005D7EAC" w:rsidRDefault="003071D4" w:rsidP="00510A2E">
      <w:pPr>
        <w:pBdr>
          <w:bottom w:val="single" w:sz="4" w:space="1" w:color="auto"/>
        </w:pBd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96A28" w:rsidRPr="005D7EA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června</w:t>
      </w:r>
      <w:r w:rsidR="00096A28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="00096A28">
        <w:rPr>
          <w:rFonts w:ascii="Arial" w:hAnsi="Arial" w:cs="Arial"/>
          <w:b/>
          <w:bCs/>
        </w:rPr>
        <w:t>, 1</w:t>
      </w:r>
      <w:r>
        <w:rPr>
          <w:rFonts w:ascii="Arial" w:hAnsi="Arial" w:cs="Arial"/>
          <w:b/>
          <w:bCs/>
        </w:rPr>
        <w:t>5</w:t>
      </w:r>
      <w:r w:rsidR="00A6257C">
        <w:rPr>
          <w:rFonts w:ascii="Arial" w:hAnsi="Arial" w:cs="Arial"/>
          <w:b/>
          <w:bCs/>
        </w:rPr>
        <w:t>:00</w:t>
      </w:r>
      <w:r w:rsidR="00096A28">
        <w:rPr>
          <w:rFonts w:ascii="Arial" w:hAnsi="Arial" w:cs="Arial"/>
          <w:b/>
          <w:bCs/>
        </w:rPr>
        <w:t xml:space="preserve"> – 1</w:t>
      </w:r>
      <w:r>
        <w:rPr>
          <w:rFonts w:ascii="Arial" w:hAnsi="Arial" w:cs="Arial"/>
          <w:b/>
          <w:bCs/>
        </w:rPr>
        <w:t>7</w:t>
      </w:r>
      <w:r w:rsidR="00A6257C">
        <w:rPr>
          <w:rFonts w:ascii="Arial" w:hAnsi="Arial" w:cs="Arial"/>
          <w:b/>
          <w:bCs/>
        </w:rPr>
        <w:t>:0</w:t>
      </w:r>
      <w:r w:rsidR="00096A28">
        <w:rPr>
          <w:rFonts w:ascii="Arial" w:hAnsi="Arial" w:cs="Arial"/>
          <w:b/>
          <w:bCs/>
        </w:rPr>
        <w:t>0</w:t>
      </w:r>
      <w:r w:rsidR="00096A28" w:rsidRPr="005D7EAC">
        <w:rPr>
          <w:rFonts w:ascii="Arial" w:hAnsi="Arial" w:cs="Arial"/>
          <w:b/>
          <w:bCs/>
        </w:rPr>
        <w:t xml:space="preserve">, </w:t>
      </w:r>
      <w:r w:rsidR="007922E2">
        <w:rPr>
          <w:rFonts w:ascii="Arial" w:hAnsi="Arial" w:cs="Arial"/>
          <w:b/>
          <w:bCs/>
        </w:rPr>
        <w:t xml:space="preserve">prezenčně </w:t>
      </w:r>
      <w:r w:rsidR="002529C1">
        <w:rPr>
          <w:rFonts w:ascii="Arial" w:hAnsi="Arial" w:cs="Arial"/>
          <w:b/>
          <w:bCs/>
        </w:rPr>
        <w:t>Úřad vlády, Stra</w:t>
      </w:r>
      <w:r w:rsidR="002C41B0">
        <w:rPr>
          <w:rFonts w:ascii="Arial" w:hAnsi="Arial" w:cs="Arial"/>
          <w:b/>
          <w:bCs/>
        </w:rPr>
        <w:t>kova akademie (Starý tiskový sál</w:t>
      </w:r>
      <w:r w:rsidR="002529C1">
        <w:rPr>
          <w:rFonts w:ascii="Arial" w:hAnsi="Arial" w:cs="Arial"/>
          <w:b/>
          <w:bCs/>
        </w:rPr>
        <w:t>)</w:t>
      </w:r>
      <w:r w:rsidR="00A72402">
        <w:rPr>
          <w:rFonts w:ascii="Arial" w:hAnsi="Arial" w:cs="Arial"/>
          <w:b/>
          <w:bCs/>
        </w:rPr>
        <w:t>,</w:t>
      </w:r>
      <w:r w:rsidR="002529C1">
        <w:rPr>
          <w:rFonts w:ascii="Arial" w:hAnsi="Arial" w:cs="Arial"/>
          <w:b/>
          <w:bCs/>
        </w:rPr>
        <w:t xml:space="preserve"> </w:t>
      </w:r>
      <w:r w:rsidR="00A72402">
        <w:rPr>
          <w:rFonts w:ascii="Arial" w:hAnsi="Arial" w:cs="Arial"/>
          <w:b/>
          <w:bCs/>
        </w:rPr>
        <w:t>a </w:t>
      </w:r>
      <w:r w:rsidR="007922E2">
        <w:rPr>
          <w:rFonts w:ascii="Arial" w:hAnsi="Arial" w:cs="Arial"/>
          <w:b/>
          <w:bCs/>
        </w:rPr>
        <w:t xml:space="preserve">online </w:t>
      </w:r>
      <w:r w:rsidR="00096A28" w:rsidRPr="00096A28">
        <w:rPr>
          <w:rFonts w:ascii="Arial" w:hAnsi="Arial" w:cs="Arial"/>
          <w:b/>
          <w:bCs/>
        </w:rPr>
        <w:t xml:space="preserve">platforma </w:t>
      </w:r>
      <w:proofErr w:type="spellStart"/>
      <w:r w:rsidR="00096A28" w:rsidRPr="00F91C92">
        <w:rPr>
          <w:rFonts w:ascii="Arial" w:hAnsi="Arial" w:cs="Arial"/>
          <w:b/>
          <w:bCs/>
        </w:rPr>
        <w:t>Webex</w:t>
      </w:r>
      <w:proofErr w:type="spellEnd"/>
      <w:r w:rsidR="00096A28" w:rsidRPr="00F91C92">
        <w:rPr>
          <w:rFonts w:ascii="Arial" w:hAnsi="Arial" w:cs="Arial"/>
          <w:b/>
          <w:bCs/>
        </w:rPr>
        <w:t xml:space="preserve"> </w:t>
      </w:r>
      <w:proofErr w:type="spellStart"/>
      <w:r w:rsidR="00096A28" w:rsidRPr="00F91C92">
        <w:rPr>
          <w:rFonts w:ascii="Arial" w:hAnsi="Arial" w:cs="Arial"/>
          <w:b/>
          <w:bCs/>
        </w:rPr>
        <w:t>meetings</w:t>
      </w:r>
      <w:proofErr w:type="spellEnd"/>
      <w:r w:rsidR="00096A28" w:rsidRPr="00336748">
        <w:rPr>
          <w:rFonts w:ascii="Arial" w:hAnsi="Arial" w:cs="Arial"/>
          <w:b/>
          <w:bCs/>
        </w:rPr>
        <w:t xml:space="preserve"> </w:t>
      </w:r>
    </w:p>
    <w:p w:rsidR="00096A28" w:rsidRPr="00880845" w:rsidRDefault="009C7276" w:rsidP="00510A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u w:val="single"/>
        </w:rPr>
        <w:t>Účastníci (prezenčně a online)</w:t>
      </w:r>
      <w:r w:rsidR="00096A28" w:rsidRPr="00DF16DE">
        <w:rPr>
          <w:rFonts w:ascii="Arial" w:hAnsi="Arial" w:cs="Arial"/>
          <w:b/>
          <w:bCs/>
        </w:rPr>
        <w:t>:</w:t>
      </w:r>
    </w:p>
    <w:p w:rsidR="002529C1" w:rsidRDefault="002529C1" w:rsidP="00510A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29C1" w:rsidRDefault="003071D4" w:rsidP="00510A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Bendl Daniel (ÚV), </w:t>
      </w:r>
      <w:r w:rsidR="002529C1">
        <w:rPr>
          <w:rFonts w:ascii="Arial" w:hAnsi="Arial" w:cs="Arial"/>
          <w:sz w:val="22"/>
          <w:szCs w:val="22"/>
        </w:rPr>
        <w:t xml:space="preserve">Fiala Jan (ÚV), </w:t>
      </w:r>
      <w:proofErr w:type="spellStart"/>
      <w:r>
        <w:rPr>
          <w:rFonts w:ascii="Arial" w:hAnsi="Arial" w:cs="Arial"/>
          <w:sz w:val="22"/>
          <w:szCs w:val="22"/>
        </w:rPr>
        <w:t>Fr</w:t>
      </w:r>
      <w:r w:rsidR="009C7276" w:rsidRPr="009C7276">
        <w:rPr>
          <w:rFonts w:ascii="Arial" w:hAnsi="Arial" w:cs="Arial"/>
          <w:sz w:val="22"/>
          <w:szCs w:val="22"/>
        </w:rPr>
        <w:t>ű</w:t>
      </w:r>
      <w:r>
        <w:rPr>
          <w:rFonts w:ascii="Arial" w:hAnsi="Arial" w:cs="Arial"/>
          <w:sz w:val="22"/>
          <w:szCs w:val="22"/>
        </w:rPr>
        <w:t>hauf</w:t>
      </w:r>
      <w:proofErr w:type="spellEnd"/>
      <w:r>
        <w:rPr>
          <w:rFonts w:ascii="Arial" w:hAnsi="Arial" w:cs="Arial"/>
          <w:sz w:val="22"/>
          <w:szCs w:val="22"/>
        </w:rPr>
        <w:t xml:space="preserve"> Ladislav (České priority), Haken Roman (Centrum pro komunitní práci), Hájek Miroslav (ČZU),</w:t>
      </w:r>
      <w:r w:rsidR="00B543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Hovorka Jakub (MŠMT), </w:t>
      </w:r>
      <w:proofErr w:type="spellStart"/>
      <w:r>
        <w:rPr>
          <w:rFonts w:ascii="Arial" w:hAnsi="Arial" w:cs="Arial"/>
          <w:sz w:val="22"/>
          <w:szCs w:val="22"/>
        </w:rPr>
        <w:t>Chmelář</w:t>
      </w:r>
      <w:proofErr w:type="spellEnd"/>
      <w:r>
        <w:rPr>
          <w:rFonts w:ascii="Arial" w:hAnsi="Arial" w:cs="Arial"/>
          <w:sz w:val="22"/>
          <w:szCs w:val="22"/>
        </w:rPr>
        <w:t xml:space="preserve"> Aleš (OECD), </w:t>
      </w:r>
      <w:proofErr w:type="spellStart"/>
      <w:r w:rsidR="00F91C92">
        <w:rPr>
          <w:rFonts w:ascii="Arial" w:hAnsi="Arial" w:cs="Arial"/>
          <w:sz w:val="22"/>
          <w:szCs w:val="22"/>
        </w:rPr>
        <w:t>Jacina</w:t>
      </w:r>
      <w:proofErr w:type="spellEnd"/>
      <w:r w:rsidR="00F91C92">
        <w:rPr>
          <w:rFonts w:ascii="Arial" w:hAnsi="Arial" w:cs="Arial"/>
          <w:sz w:val="22"/>
          <w:szCs w:val="22"/>
        </w:rPr>
        <w:t xml:space="preserve"> Viktor (MF), </w:t>
      </w:r>
      <w:r>
        <w:rPr>
          <w:rFonts w:ascii="Arial" w:hAnsi="Arial" w:cs="Arial"/>
          <w:sz w:val="22"/>
          <w:szCs w:val="22"/>
        </w:rPr>
        <w:t xml:space="preserve">Janatka Květoslav (MF), Janáková Lenka (HK ČR), </w:t>
      </w:r>
      <w:proofErr w:type="spellStart"/>
      <w:r>
        <w:rPr>
          <w:rFonts w:ascii="Arial" w:hAnsi="Arial" w:cs="Arial"/>
          <w:sz w:val="22"/>
          <w:szCs w:val="22"/>
        </w:rPr>
        <w:t>Jungwirth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Březovská</w:t>
      </w:r>
      <w:proofErr w:type="spellEnd"/>
      <w:r>
        <w:rPr>
          <w:rFonts w:ascii="Arial" w:hAnsi="Arial" w:cs="Arial"/>
          <w:sz w:val="22"/>
          <w:szCs w:val="22"/>
        </w:rPr>
        <w:t xml:space="preserve"> Romana (AMO), </w:t>
      </w:r>
      <w:r w:rsidR="002529C1">
        <w:rPr>
          <w:rFonts w:ascii="Arial" w:hAnsi="Arial" w:cs="Arial"/>
          <w:sz w:val="22"/>
          <w:szCs w:val="22"/>
        </w:rPr>
        <w:t xml:space="preserve">Juřík Richard (MŽP), Klusák Václav (ÚV), Maděra Milan (ÚV), </w:t>
      </w:r>
      <w:proofErr w:type="spellStart"/>
      <w:r>
        <w:rPr>
          <w:rFonts w:ascii="Arial" w:hAnsi="Arial" w:cs="Arial"/>
          <w:sz w:val="22"/>
          <w:szCs w:val="22"/>
        </w:rPr>
        <w:t>Masare</w:t>
      </w:r>
      <w:proofErr w:type="spellEnd"/>
      <w:r>
        <w:rPr>
          <w:rFonts w:ascii="Arial" w:hAnsi="Arial" w:cs="Arial"/>
          <w:sz w:val="22"/>
          <w:szCs w:val="22"/>
        </w:rPr>
        <w:t xml:space="preserve"> Vít (ÚV), Mácová Veronika (ÚV), </w:t>
      </w:r>
      <w:proofErr w:type="spellStart"/>
      <w:r w:rsidR="00B54351">
        <w:rPr>
          <w:rFonts w:ascii="Arial" w:hAnsi="Arial" w:cs="Arial"/>
          <w:sz w:val="22"/>
          <w:szCs w:val="22"/>
        </w:rPr>
        <w:t>Nalejvač</w:t>
      </w:r>
      <w:proofErr w:type="spellEnd"/>
      <w:r w:rsidR="00B54351">
        <w:rPr>
          <w:rFonts w:ascii="Arial" w:hAnsi="Arial" w:cs="Arial"/>
          <w:sz w:val="22"/>
          <w:szCs w:val="22"/>
        </w:rPr>
        <w:t xml:space="preserve"> Tomáš (ÚV), </w:t>
      </w:r>
      <w:r w:rsidR="007922E2">
        <w:rPr>
          <w:rFonts w:ascii="Arial" w:hAnsi="Arial" w:cs="Arial"/>
          <w:sz w:val="22"/>
          <w:szCs w:val="22"/>
        </w:rPr>
        <w:t xml:space="preserve">Nekovář Jiří (Euro-Trend), </w:t>
      </w:r>
      <w:r w:rsidR="002529C1">
        <w:rPr>
          <w:rFonts w:ascii="Arial" w:hAnsi="Arial" w:cs="Arial"/>
          <w:sz w:val="22"/>
          <w:szCs w:val="22"/>
        </w:rPr>
        <w:t xml:space="preserve">Pasková Anna (MŽP), </w:t>
      </w:r>
      <w:r>
        <w:rPr>
          <w:rFonts w:ascii="Arial" w:hAnsi="Arial" w:cs="Arial"/>
          <w:sz w:val="22"/>
          <w:szCs w:val="22"/>
        </w:rPr>
        <w:t xml:space="preserve">Peloušek Filip (MŽP), </w:t>
      </w:r>
      <w:proofErr w:type="spellStart"/>
      <w:r>
        <w:rPr>
          <w:rFonts w:ascii="Arial" w:hAnsi="Arial" w:cs="Arial"/>
          <w:sz w:val="22"/>
          <w:szCs w:val="22"/>
        </w:rPr>
        <w:t>Pělucha</w:t>
      </w:r>
      <w:proofErr w:type="spellEnd"/>
      <w:r>
        <w:rPr>
          <w:rFonts w:ascii="Arial" w:hAnsi="Arial" w:cs="Arial"/>
          <w:sz w:val="22"/>
          <w:szCs w:val="22"/>
        </w:rPr>
        <w:t xml:space="preserve"> Martin (VŠE), Polášek Martin (MŽP), </w:t>
      </w:r>
      <w:r w:rsidR="00F91C92">
        <w:rPr>
          <w:rFonts w:ascii="Arial" w:hAnsi="Arial" w:cs="Arial"/>
          <w:sz w:val="22"/>
          <w:szCs w:val="22"/>
        </w:rPr>
        <w:t>Simonová Jana</w:t>
      </w:r>
      <w:r>
        <w:rPr>
          <w:rFonts w:ascii="Arial" w:hAnsi="Arial" w:cs="Arial"/>
          <w:sz w:val="22"/>
          <w:szCs w:val="22"/>
        </w:rPr>
        <w:t xml:space="preserve"> (UNFPA)</w:t>
      </w:r>
      <w:r w:rsidR="00F91C9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Sršňová Lucie (MŽP), </w:t>
      </w:r>
      <w:r w:rsidR="007922E2">
        <w:rPr>
          <w:rFonts w:ascii="Arial" w:hAnsi="Arial" w:cs="Arial"/>
          <w:sz w:val="22"/>
          <w:szCs w:val="22"/>
        </w:rPr>
        <w:t xml:space="preserve">Štros Karel (ÚV), </w:t>
      </w:r>
      <w:r w:rsidR="00A6257C">
        <w:rPr>
          <w:rFonts w:ascii="Arial" w:hAnsi="Arial" w:cs="Arial"/>
          <w:sz w:val="22"/>
          <w:szCs w:val="22"/>
        </w:rPr>
        <w:t>Truchlá Jana (ÚV)</w:t>
      </w:r>
      <w:r>
        <w:rPr>
          <w:rFonts w:ascii="Arial" w:hAnsi="Arial" w:cs="Arial"/>
          <w:sz w:val="22"/>
          <w:szCs w:val="22"/>
        </w:rPr>
        <w:t>, Votrubová Soňa (MŠMT), Vydra Šimon (ÚV), Žáková Pavlína (ÚV)</w:t>
      </w:r>
    </w:p>
    <w:p w:rsidR="002529C1" w:rsidRDefault="002529C1" w:rsidP="00510A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2578" w:rsidRPr="00836C59" w:rsidRDefault="00FD35F8" w:rsidP="00510A2E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</w:t>
      </w:r>
      <w:r w:rsidR="00852578" w:rsidRPr="00836C59">
        <w:rPr>
          <w:rFonts w:ascii="Arial" w:hAnsi="Arial" w:cs="Arial"/>
          <w:b/>
          <w:szCs w:val="22"/>
        </w:rPr>
        <w:t xml:space="preserve">rogram jednání </w:t>
      </w:r>
    </w:p>
    <w:p w:rsidR="00852578" w:rsidRDefault="00852578" w:rsidP="00510A2E">
      <w:pPr>
        <w:jc w:val="both"/>
        <w:rPr>
          <w:rFonts w:ascii="Arial" w:eastAsia="Calibri" w:hAnsi="Arial" w:cs="Arial"/>
          <w:sz w:val="22"/>
          <w:szCs w:val="18"/>
          <w:lang w:eastAsia="en-US"/>
        </w:rPr>
      </w:pPr>
    </w:p>
    <w:p w:rsidR="002C41B0" w:rsidRDefault="002C41B0" w:rsidP="00510A2E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E51C7">
        <w:rPr>
          <w:rFonts w:ascii="Arial" w:hAnsi="Arial" w:cs="Arial"/>
          <w:sz w:val="22"/>
          <w:szCs w:val="22"/>
        </w:rPr>
        <w:t>Zahájení a schválení programu</w:t>
      </w:r>
    </w:p>
    <w:p w:rsidR="002C41B0" w:rsidRDefault="002C41B0" w:rsidP="00510A2E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Plán činnosti výboru</w:t>
      </w:r>
    </w:p>
    <w:p w:rsidR="002C41B0" w:rsidRDefault="002C41B0" w:rsidP="00510A2E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Aktuality v oblasti analytické činnosti (PSSAÚ, VAÚ)</w:t>
      </w:r>
    </w:p>
    <w:p w:rsidR="002C41B0" w:rsidRDefault="002C41B0" w:rsidP="00510A2E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Strategický rámec ČR 2030</w:t>
      </w:r>
    </w:p>
    <w:p w:rsidR="002C41B0" w:rsidRDefault="002C41B0" w:rsidP="00510A2E">
      <w:pPr>
        <w:pStyle w:val="Odstavecseseznamem"/>
        <w:numPr>
          <w:ilvl w:val="0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Pokrok v plnění opatření 2. implementačního plánu ČR 2030</w:t>
      </w:r>
    </w:p>
    <w:p w:rsidR="002C41B0" w:rsidRPr="002C41B0" w:rsidRDefault="002C41B0" w:rsidP="00510A2E">
      <w:pPr>
        <w:pStyle w:val="Odstavecseseznamem"/>
        <w:numPr>
          <w:ilvl w:val="0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736C2">
        <w:rPr>
          <w:rFonts w:ascii="Arial" w:hAnsi="Arial" w:cs="Arial"/>
          <w:sz w:val="22"/>
          <w:szCs w:val="22"/>
        </w:rPr>
        <w:t>Vybrané aspekty projektu Koherence politik pro udržitelný rozvoj v rámci NPO</w:t>
      </w:r>
    </w:p>
    <w:p w:rsidR="002C41B0" w:rsidRPr="002C41B0" w:rsidRDefault="002C41B0" w:rsidP="00510A2E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 </w:t>
      </w:r>
      <w:proofErr w:type="spellStart"/>
      <w:r>
        <w:rPr>
          <w:rFonts w:ascii="Arial" w:hAnsi="Arial" w:cs="Arial"/>
          <w:sz w:val="22"/>
          <w:szCs w:val="22"/>
        </w:rPr>
        <w:t>foresight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2C41B0" w:rsidRDefault="002C41B0" w:rsidP="00510A2E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370A6">
        <w:rPr>
          <w:rFonts w:ascii="Arial" w:hAnsi="Arial" w:cs="Arial"/>
          <w:sz w:val="22"/>
          <w:szCs w:val="22"/>
        </w:rPr>
        <w:t>Novinky z OECD (</w:t>
      </w:r>
      <w:r>
        <w:rPr>
          <w:rFonts w:ascii="Arial" w:hAnsi="Arial" w:cs="Arial"/>
          <w:sz w:val="22"/>
          <w:szCs w:val="22"/>
        </w:rPr>
        <w:t xml:space="preserve">uvede </w:t>
      </w:r>
      <w:r w:rsidRPr="003370A6">
        <w:rPr>
          <w:rFonts w:ascii="Arial" w:hAnsi="Arial" w:cs="Arial"/>
          <w:sz w:val="22"/>
          <w:szCs w:val="22"/>
        </w:rPr>
        <w:t>A. Chmelař)</w:t>
      </w:r>
    </w:p>
    <w:p w:rsidR="002C41B0" w:rsidRPr="003370A6" w:rsidRDefault="002C41B0" w:rsidP="00510A2E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 evropském semestru v návaznosti na legislativní změny</w:t>
      </w:r>
    </w:p>
    <w:p w:rsidR="002C41B0" w:rsidRDefault="002C41B0" w:rsidP="00510A2E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D75D2">
        <w:rPr>
          <w:rFonts w:ascii="Arial" w:hAnsi="Arial" w:cs="Arial"/>
          <w:sz w:val="22"/>
          <w:szCs w:val="22"/>
        </w:rPr>
        <w:t>Závěr</w:t>
      </w:r>
    </w:p>
    <w:p w:rsidR="00B96534" w:rsidRDefault="00B96534" w:rsidP="00510A2E">
      <w:pPr>
        <w:jc w:val="both"/>
        <w:rPr>
          <w:rFonts w:ascii="Arial" w:eastAsia="Calibri" w:hAnsi="Arial" w:cs="Arial"/>
          <w:sz w:val="22"/>
          <w:szCs w:val="18"/>
          <w:lang w:eastAsia="en-US"/>
        </w:rPr>
      </w:pPr>
    </w:p>
    <w:p w:rsidR="0090516C" w:rsidRPr="00C01C64" w:rsidRDefault="00143857" w:rsidP="00510A2E">
      <w:pPr>
        <w:spacing w:before="240" w:after="12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</w:t>
      </w:r>
      <w:r w:rsidR="0090516C" w:rsidRPr="00C01C64">
        <w:rPr>
          <w:rFonts w:ascii="Arial" w:hAnsi="Arial" w:cs="Arial"/>
          <w:b/>
          <w:u w:val="single"/>
        </w:rPr>
        <w:t>od programu 1) Zahájení a schválení programu</w:t>
      </w:r>
    </w:p>
    <w:p w:rsidR="0090516C" w:rsidRDefault="0090516C" w:rsidP="00510A2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313A46" w:rsidRPr="00CB3569" w:rsidRDefault="002C41B0" w:rsidP="00510A2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P. Žáková (ÚV</w:t>
      </w:r>
      <w:r w:rsidR="00445FC5" w:rsidRPr="00445FC5">
        <w:rPr>
          <w:rFonts w:ascii="Arial" w:hAnsi="Arial" w:cs="Arial"/>
          <w:b/>
        </w:rPr>
        <w:t>)</w:t>
      </w:r>
      <w:r w:rsidR="00A76D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představila jako nová předsedkyně Výboru pro socioekonomický rozvoj a</w:t>
      </w:r>
      <w:r w:rsidR="009C7276">
        <w:rPr>
          <w:rFonts w:ascii="Arial" w:hAnsi="Arial" w:cs="Arial"/>
        </w:rPr>
        <w:t> </w:t>
      </w:r>
      <w:r w:rsidR="00A76D5F">
        <w:rPr>
          <w:rFonts w:ascii="Arial" w:hAnsi="Arial" w:cs="Arial"/>
        </w:rPr>
        <w:t>přivítal</w:t>
      </w:r>
      <w:r>
        <w:rPr>
          <w:rFonts w:ascii="Arial" w:hAnsi="Arial" w:cs="Arial"/>
        </w:rPr>
        <w:t>a</w:t>
      </w:r>
      <w:r w:rsidR="00A76D5F">
        <w:rPr>
          <w:rFonts w:ascii="Arial" w:hAnsi="Arial" w:cs="Arial"/>
        </w:rPr>
        <w:t xml:space="preserve"> účastníky</w:t>
      </w:r>
      <w:r w:rsidR="00445FC5" w:rsidRPr="00445FC5">
        <w:rPr>
          <w:rFonts w:ascii="Arial" w:hAnsi="Arial" w:cs="Arial"/>
        </w:rPr>
        <w:t xml:space="preserve">. Následně </w:t>
      </w:r>
      <w:r>
        <w:rPr>
          <w:rFonts w:ascii="Arial" w:hAnsi="Arial" w:cs="Arial"/>
        </w:rPr>
        <w:t xml:space="preserve">upozornila na změnu pořadí </w:t>
      </w:r>
      <w:r w:rsidR="009C7276">
        <w:rPr>
          <w:rFonts w:ascii="Arial" w:hAnsi="Arial" w:cs="Arial"/>
        </w:rPr>
        <w:t>dvou</w:t>
      </w:r>
      <w:r w:rsidR="00995C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bodů v</w:t>
      </w:r>
      <w:r w:rsidR="00995C9F">
        <w:rPr>
          <w:rFonts w:ascii="Arial" w:hAnsi="Arial" w:cs="Arial"/>
        </w:rPr>
        <w:t> </w:t>
      </w:r>
      <w:r>
        <w:rPr>
          <w:rFonts w:ascii="Arial" w:hAnsi="Arial" w:cs="Arial"/>
        </w:rPr>
        <w:t>programu</w:t>
      </w:r>
      <w:r w:rsidR="00995C9F">
        <w:rPr>
          <w:rFonts w:ascii="Arial" w:hAnsi="Arial" w:cs="Arial"/>
        </w:rPr>
        <w:t>, program byl v </w:t>
      </w:r>
      <w:r w:rsidR="009C7276">
        <w:rPr>
          <w:rFonts w:ascii="Arial" w:hAnsi="Arial" w:cs="Arial"/>
        </w:rPr>
        <w:t>upravené</w:t>
      </w:r>
      <w:r w:rsidR="00995C9F">
        <w:rPr>
          <w:rFonts w:ascii="Arial" w:hAnsi="Arial" w:cs="Arial"/>
        </w:rPr>
        <w:t xml:space="preserve"> podobě</w:t>
      </w:r>
      <w:r w:rsidR="00445FC5" w:rsidRPr="00445FC5">
        <w:rPr>
          <w:rFonts w:ascii="Arial" w:hAnsi="Arial" w:cs="Arial"/>
        </w:rPr>
        <w:t xml:space="preserve"> </w:t>
      </w:r>
      <w:r w:rsidR="009C7276">
        <w:rPr>
          <w:rFonts w:ascii="Arial" w:hAnsi="Arial" w:cs="Arial"/>
        </w:rPr>
        <w:t xml:space="preserve">(uvedené výše) </w:t>
      </w:r>
      <w:r w:rsidR="00445FC5" w:rsidRPr="00445FC5">
        <w:rPr>
          <w:rFonts w:ascii="Arial" w:hAnsi="Arial" w:cs="Arial"/>
        </w:rPr>
        <w:t>schvál</w:t>
      </w:r>
      <w:r w:rsidR="00313A46">
        <w:rPr>
          <w:rFonts w:ascii="Arial" w:hAnsi="Arial" w:cs="Arial"/>
        </w:rPr>
        <w:t>en</w:t>
      </w:r>
      <w:r w:rsidR="00995C9F">
        <w:rPr>
          <w:rFonts w:ascii="Arial" w:hAnsi="Arial" w:cs="Arial"/>
        </w:rPr>
        <w:t>.</w:t>
      </w:r>
      <w:r w:rsidR="00445FC5" w:rsidRPr="00445FC5">
        <w:rPr>
          <w:rFonts w:ascii="Arial" w:hAnsi="Arial" w:cs="Arial"/>
        </w:rPr>
        <w:t xml:space="preserve"> </w:t>
      </w:r>
    </w:p>
    <w:p w:rsidR="002B3EE5" w:rsidRDefault="0080300A" w:rsidP="00510A2E">
      <w:pPr>
        <w:spacing w:before="240" w:after="120" w:line="276" w:lineRule="auto"/>
        <w:jc w:val="both"/>
        <w:rPr>
          <w:rFonts w:ascii="Arial" w:hAnsi="Arial" w:cs="Arial"/>
          <w:b/>
          <w:u w:val="single"/>
        </w:rPr>
      </w:pPr>
      <w:r w:rsidRPr="00A6257C">
        <w:rPr>
          <w:rFonts w:ascii="Arial" w:hAnsi="Arial" w:cs="Arial"/>
          <w:b/>
          <w:u w:val="single"/>
        </w:rPr>
        <w:t>Bod programu 2</w:t>
      </w:r>
      <w:r w:rsidR="002B3EE5" w:rsidRPr="00A6257C">
        <w:rPr>
          <w:rFonts w:ascii="Arial" w:hAnsi="Arial" w:cs="Arial"/>
          <w:b/>
          <w:u w:val="single"/>
        </w:rPr>
        <w:t>)</w:t>
      </w:r>
      <w:r w:rsidR="00A6257C" w:rsidRPr="00A6257C">
        <w:rPr>
          <w:u w:val="single"/>
        </w:rPr>
        <w:t xml:space="preserve"> </w:t>
      </w:r>
      <w:r w:rsidR="00995C9F" w:rsidRPr="00995C9F">
        <w:rPr>
          <w:rFonts w:ascii="Arial" w:hAnsi="Arial" w:cs="Arial"/>
          <w:b/>
          <w:u w:val="single"/>
        </w:rPr>
        <w:t>Plán činnosti výboru</w:t>
      </w:r>
    </w:p>
    <w:p w:rsidR="00D8756A" w:rsidRDefault="00590348" w:rsidP="00510A2E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P. Žáková</w:t>
      </w:r>
      <w:r w:rsidR="00E8602A">
        <w:rPr>
          <w:rFonts w:ascii="Arial" w:hAnsi="Arial" w:cs="Arial"/>
        </w:rPr>
        <w:t xml:space="preserve"> i</w:t>
      </w:r>
      <w:r w:rsidR="00E8602A" w:rsidRPr="00E8602A">
        <w:rPr>
          <w:rFonts w:ascii="Arial" w:hAnsi="Arial" w:cs="Arial"/>
        </w:rPr>
        <w:t xml:space="preserve">nformovala o převzetí </w:t>
      </w:r>
      <w:r w:rsidR="009C7276">
        <w:rPr>
          <w:rFonts w:ascii="Arial" w:hAnsi="Arial" w:cs="Arial"/>
        </w:rPr>
        <w:t xml:space="preserve">vedení </w:t>
      </w:r>
      <w:r w:rsidR="00E8602A">
        <w:rPr>
          <w:rFonts w:ascii="Arial" w:hAnsi="Arial" w:cs="Arial"/>
        </w:rPr>
        <w:t>výbor</w:t>
      </w:r>
      <w:r w:rsidR="00443A20">
        <w:rPr>
          <w:rFonts w:ascii="Arial" w:hAnsi="Arial" w:cs="Arial"/>
        </w:rPr>
        <w:t>u</w:t>
      </w:r>
      <w:r w:rsidR="00E8602A">
        <w:rPr>
          <w:rFonts w:ascii="Arial" w:hAnsi="Arial" w:cs="Arial"/>
        </w:rPr>
        <w:t>. Společně s</w:t>
      </w:r>
      <w:r w:rsidR="00D8756A">
        <w:rPr>
          <w:rFonts w:ascii="Arial" w:hAnsi="Arial" w:cs="Arial"/>
        </w:rPr>
        <w:t xml:space="preserve"> </w:t>
      </w:r>
      <w:r w:rsidR="009C7276">
        <w:rPr>
          <w:rFonts w:ascii="Arial" w:hAnsi="Arial" w:cs="Arial"/>
        </w:rPr>
        <w:t xml:space="preserve">Úřadem </w:t>
      </w:r>
      <w:r w:rsidR="00D8756A">
        <w:rPr>
          <w:rFonts w:ascii="Arial" w:hAnsi="Arial" w:cs="Arial"/>
        </w:rPr>
        <w:t>vlády (ÚV) -</w:t>
      </w:r>
      <w:r w:rsidR="009C7276">
        <w:rPr>
          <w:rFonts w:ascii="Arial" w:hAnsi="Arial" w:cs="Arial"/>
        </w:rPr>
        <w:t xml:space="preserve"> Sekcí pro evropské záležitosti</w:t>
      </w:r>
      <w:r w:rsidR="00443A20">
        <w:rPr>
          <w:rFonts w:ascii="Arial" w:hAnsi="Arial" w:cs="Arial"/>
        </w:rPr>
        <w:t xml:space="preserve">, </w:t>
      </w:r>
      <w:r w:rsidR="00D8756A">
        <w:rPr>
          <w:rFonts w:ascii="Arial" w:hAnsi="Arial" w:cs="Arial"/>
        </w:rPr>
        <w:t>s Ministerstvem životního prostředí (</w:t>
      </w:r>
      <w:r w:rsidR="00443A20">
        <w:rPr>
          <w:rFonts w:ascii="Arial" w:hAnsi="Arial" w:cs="Arial"/>
        </w:rPr>
        <w:t>MŽP</w:t>
      </w:r>
      <w:r w:rsidR="00D8756A">
        <w:rPr>
          <w:rFonts w:ascii="Arial" w:hAnsi="Arial" w:cs="Arial"/>
        </w:rPr>
        <w:t>)</w:t>
      </w:r>
      <w:r w:rsidR="00443A20">
        <w:rPr>
          <w:rFonts w:ascii="Arial" w:hAnsi="Arial" w:cs="Arial"/>
        </w:rPr>
        <w:t>, Vládní</w:t>
      </w:r>
      <w:r w:rsidR="00DF78A6">
        <w:rPr>
          <w:rFonts w:ascii="Arial" w:hAnsi="Arial" w:cs="Arial"/>
        </w:rPr>
        <w:t>m</w:t>
      </w:r>
      <w:r w:rsidR="00443A20">
        <w:rPr>
          <w:rFonts w:ascii="Arial" w:hAnsi="Arial" w:cs="Arial"/>
        </w:rPr>
        <w:t xml:space="preserve"> analytický</w:t>
      </w:r>
      <w:r w:rsidR="00DF78A6">
        <w:rPr>
          <w:rFonts w:ascii="Arial" w:hAnsi="Arial" w:cs="Arial"/>
        </w:rPr>
        <w:t>m</w:t>
      </w:r>
      <w:r w:rsidR="00443A20">
        <w:rPr>
          <w:rFonts w:ascii="Arial" w:hAnsi="Arial" w:cs="Arial"/>
        </w:rPr>
        <w:t xml:space="preserve"> útvar</w:t>
      </w:r>
      <w:r w:rsidR="00D8756A">
        <w:rPr>
          <w:rFonts w:ascii="Arial" w:hAnsi="Arial" w:cs="Arial"/>
        </w:rPr>
        <w:t>em (VAÚ) na ÚV</w:t>
      </w:r>
      <w:r w:rsidR="00E8602A" w:rsidRPr="00E8602A">
        <w:rPr>
          <w:rFonts w:ascii="Arial" w:hAnsi="Arial" w:cs="Arial"/>
        </w:rPr>
        <w:t xml:space="preserve"> a </w:t>
      </w:r>
      <w:r w:rsidR="00D8756A">
        <w:rPr>
          <w:rFonts w:ascii="Arial" w:hAnsi="Arial" w:cs="Arial"/>
        </w:rPr>
        <w:t xml:space="preserve">s </w:t>
      </w:r>
      <w:r w:rsidR="00E8602A" w:rsidRPr="00E8602A">
        <w:rPr>
          <w:rFonts w:ascii="Arial" w:hAnsi="Arial" w:cs="Arial"/>
        </w:rPr>
        <w:t>P</w:t>
      </w:r>
      <w:r w:rsidR="00E8602A">
        <w:rPr>
          <w:rFonts w:ascii="Arial" w:hAnsi="Arial" w:cs="Arial"/>
        </w:rPr>
        <w:t>S</w:t>
      </w:r>
      <w:r w:rsidR="00E8602A" w:rsidRPr="00E8602A">
        <w:rPr>
          <w:rFonts w:ascii="Arial" w:hAnsi="Arial" w:cs="Arial"/>
        </w:rPr>
        <w:t>SAÚ</w:t>
      </w:r>
      <w:r w:rsidR="00443A20">
        <w:rPr>
          <w:rFonts w:ascii="Arial" w:hAnsi="Arial" w:cs="Arial"/>
        </w:rPr>
        <w:t xml:space="preserve"> (Pracovní skupina</w:t>
      </w:r>
      <w:r w:rsidR="00443A20" w:rsidRPr="00E8602A">
        <w:rPr>
          <w:rFonts w:ascii="Arial" w:hAnsi="Arial" w:cs="Arial"/>
        </w:rPr>
        <w:t xml:space="preserve"> pro </w:t>
      </w:r>
      <w:r w:rsidR="00443A20">
        <w:rPr>
          <w:rFonts w:ascii="Arial" w:hAnsi="Arial" w:cs="Arial"/>
        </w:rPr>
        <w:t>spolupráci analytických útvarů)</w:t>
      </w:r>
      <w:r w:rsidR="00E8602A" w:rsidRPr="00E8602A">
        <w:rPr>
          <w:rFonts w:ascii="Arial" w:hAnsi="Arial" w:cs="Arial"/>
        </w:rPr>
        <w:t xml:space="preserve"> diskutoval</w:t>
      </w:r>
      <w:r w:rsidR="00D8756A">
        <w:rPr>
          <w:rFonts w:ascii="Arial" w:hAnsi="Arial" w:cs="Arial"/>
        </w:rPr>
        <w:t>a</w:t>
      </w:r>
      <w:r w:rsidR="00E8602A" w:rsidRPr="00E8602A">
        <w:rPr>
          <w:rFonts w:ascii="Arial" w:hAnsi="Arial" w:cs="Arial"/>
        </w:rPr>
        <w:t xml:space="preserve"> o </w:t>
      </w:r>
      <w:r w:rsidR="00D8756A">
        <w:rPr>
          <w:rFonts w:ascii="Arial" w:hAnsi="Arial" w:cs="Arial"/>
        </w:rPr>
        <w:lastRenderedPageBreak/>
        <w:t>optimální agendě</w:t>
      </w:r>
      <w:r w:rsidR="00E8602A" w:rsidRPr="00E8602A">
        <w:rPr>
          <w:rFonts w:ascii="Arial" w:hAnsi="Arial" w:cs="Arial"/>
        </w:rPr>
        <w:t xml:space="preserve"> výboru, o tom, jak oživit jeho fungování a zajistit přidanou hodnotou. Výsledkem úvah je rozdělení činností výboru do 3 pilířů. </w:t>
      </w:r>
    </w:p>
    <w:p w:rsidR="00475208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E8602A">
        <w:rPr>
          <w:rFonts w:ascii="Arial" w:hAnsi="Arial" w:cs="Arial"/>
        </w:rPr>
        <w:t>Prvním z nich je analytický okruh, který by měl pokrývat informace a novinky v oblasti analytické činnosti PS</w:t>
      </w:r>
      <w:r>
        <w:rPr>
          <w:rFonts w:ascii="Arial" w:hAnsi="Arial" w:cs="Arial"/>
        </w:rPr>
        <w:t>S</w:t>
      </w:r>
      <w:r w:rsidRPr="00E8602A">
        <w:rPr>
          <w:rFonts w:ascii="Arial" w:hAnsi="Arial" w:cs="Arial"/>
        </w:rPr>
        <w:t>AÚ a VAÚ, fungování analytických jednotek ve státní správě, jejich koordinaci a</w:t>
      </w:r>
      <w:r w:rsidR="00D8756A">
        <w:rPr>
          <w:rFonts w:ascii="Arial" w:hAnsi="Arial" w:cs="Arial"/>
        </w:rPr>
        <w:t> </w:t>
      </w:r>
      <w:r w:rsidRPr="00E8602A">
        <w:rPr>
          <w:rFonts w:ascii="Arial" w:hAnsi="Arial" w:cs="Arial"/>
        </w:rPr>
        <w:t xml:space="preserve">komunikaci a personální zdroje nových potenciálních analytiků. Analytické činnosti by měly být </w:t>
      </w:r>
      <w:r w:rsidR="00475208">
        <w:rPr>
          <w:rFonts w:ascii="Arial" w:hAnsi="Arial" w:cs="Arial"/>
        </w:rPr>
        <w:t>podporovány</w:t>
      </w:r>
      <w:r w:rsidRPr="00E8602A">
        <w:rPr>
          <w:rFonts w:ascii="Arial" w:hAnsi="Arial" w:cs="Arial"/>
        </w:rPr>
        <w:t xml:space="preserve"> v delším časovém horizontu, aby se podařilo zachovat kontinuitu i po roce 2025, kdy </w:t>
      </w:r>
      <w:r w:rsidR="00475208">
        <w:rPr>
          <w:rFonts w:ascii="Arial" w:hAnsi="Arial" w:cs="Arial"/>
        </w:rPr>
        <w:t>nastoupí</w:t>
      </w:r>
      <w:r w:rsidRPr="00E8602A">
        <w:rPr>
          <w:rFonts w:ascii="Arial" w:hAnsi="Arial" w:cs="Arial"/>
        </w:rPr>
        <w:t xml:space="preserve"> nová vláda po </w:t>
      </w:r>
      <w:r w:rsidR="00475208">
        <w:rPr>
          <w:rFonts w:ascii="Arial" w:hAnsi="Arial" w:cs="Arial"/>
        </w:rPr>
        <w:t>sněmovních</w:t>
      </w:r>
      <w:r w:rsidRPr="00E8602A">
        <w:rPr>
          <w:rFonts w:ascii="Arial" w:hAnsi="Arial" w:cs="Arial"/>
        </w:rPr>
        <w:t xml:space="preserve"> volbách, či po roce 2026, kdy skončí období čerpaní </w:t>
      </w:r>
      <w:r w:rsidR="00475208">
        <w:rPr>
          <w:rFonts w:ascii="Arial" w:hAnsi="Arial" w:cs="Arial"/>
        </w:rPr>
        <w:t>podpory na analytickou činnost</w:t>
      </w:r>
      <w:r w:rsidRPr="00E8602A">
        <w:rPr>
          <w:rFonts w:ascii="Arial" w:hAnsi="Arial" w:cs="Arial"/>
        </w:rPr>
        <w:t xml:space="preserve"> z Národního plánu obnovy</w:t>
      </w:r>
      <w:r w:rsidR="00D8756A">
        <w:rPr>
          <w:rFonts w:ascii="Arial" w:hAnsi="Arial" w:cs="Arial"/>
        </w:rPr>
        <w:t xml:space="preserve"> (NPO)</w:t>
      </w:r>
      <w:r w:rsidRPr="00E8602A">
        <w:rPr>
          <w:rFonts w:ascii="Arial" w:hAnsi="Arial" w:cs="Arial"/>
        </w:rPr>
        <w:t xml:space="preserve">. </w:t>
      </w:r>
    </w:p>
    <w:p w:rsidR="00475208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E8602A">
        <w:rPr>
          <w:rFonts w:ascii="Arial" w:hAnsi="Arial" w:cs="Arial"/>
        </w:rPr>
        <w:t xml:space="preserve">Dalším okruhem je EU </w:t>
      </w:r>
      <w:proofErr w:type="spellStart"/>
      <w:r w:rsidRPr="00E8602A">
        <w:rPr>
          <w:rFonts w:ascii="Arial" w:hAnsi="Arial" w:cs="Arial"/>
        </w:rPr>
        <w:t>foresight</w:t>
      </w:r>
      <w:proofErr w:type="spellEnd"/>
      <w:r w:rsidRPr="00E8602A">
        <w:rPr>
          <w:rFonts w:ascii="Arial" w:hAnsi="Arial" w:cs="Arial"/>
        </w:rPr>
        <w:t xml:space="preserve">, </w:t>
      </w:r>
      <w:r w:rsidR="00475208">
        <w:rPr>
          <w:rFonts w:ascii="Arial" w:hAnsi="Arial" w:cs="Arial"/>
        </w:rPr>
        <w:t>tedy</w:t>
      </w:r>
      <w:r w:rsidRPr="00E8602A">
        <w:rPr>
          <w:rFonts w:ascii="Arial" w:hAnsi="Arial" w:cs="Arial"/>
        </w:rPr>
        <w:t xml:space="preserve"> aktuální dění v oblasti strategického </w:t>
      </w:r>
      <w:r w:rsidR="00475208">
        <w:rPr>
          <w:rFonts w:ascii="Arial" w:hAnsi="Arial" w:cs="Arial"/>
        </w:rPr>
        <w:t>výhledu</w:t>
      </w:r>
      <w:r w:rsidRPr="00E8602A">
        <w:rPr>
          <w:rFonts w:ascii="Arial" w:hAnsi="Arial" w:cs="Arial"/>
        </w:rPr>
        <w:t xml:space="preserve"> na úrovni EU. Vzhledem k</w:t>
      </w:r>
      <w:r>
        <w:rPr>
          <w:rFonts w:ascii="Arial" w:hAnsi="Arial" w:cs="Arial"/>
        </w:rPr>
        <w:t xml:space="preserve"> její </w:t>
      </w:r>
      <w:r w:rsidRPr="00E8602A">
        <w:rPr>
          <w:rFonts w:ascii="Arial" w:hAnsi="Arial" w:cs="Arial"/>
        </w:rPr>
        <w:t>roli šerp</w:t>
      </w:r>
      <w:r w:rsidR="00DF78A6">
        <w:rPr>
          <w:rFonts w:ascii="Arial" w:hAnsi="Arial" w:cs="Arial"/>
        </w:rPr>
        <w:t>y</w:t>
      </w:r>
      <w:r w:rsidRPr="00E8602A">
        <w:rPr>
          <w:rFonts w:ascii="Arial" w:hAnsi="Arial" w:cs="Arial"/>
        </w:rPr>
        <w:t xml:space="preserve"> bude podávat informace o aktualitách v této oblasti. Rovněž by bylo </w:t>
      </w:r>
      <w:r w:rsidR="00475208">
        <w:rPr>
          <w:rFonts w:ascii="Arial" w:hAnsi="Arial" w:cs="Arial"/>
        </w:rPr>
        <w:t>vhodné</w:t>
      </w:r>
      <w:r w:rsidRPr="00E8602A">
        <w:rPr>
          <w:rFonts w:ascii="Arial" w:hAnsi="Arial" w:cs="Arial"/>
        </w:rPr>
        <w:t xml:space="preserve"> </w:t>
      </w:r>
      <w:r w:rsidR="00DF78A6">
        <w:rPr>
          <w:rFonts w:ascii="Arial" w:hAnsi="Arial" w:cs="Arial"/>
        </w:rPr>
        <w:t xml:space="preserve">diskutovat o </w:t>
      </w:r>
      <w:r w:rsidRPr="00E8602A">
        <w:rPr>
          <w:rFonts w:ascii="Arial" w:hAnsi="Arial" w:cs="Arial"/>
        </w:rPr>
        <w:t>rozv</w:t>
      </w:r>
      <w:r w:rsidR="00DF78A6">
        <w:rPr>
          <w:rFonts w:ascii="Arial" w:hAnsi="Arial" w:cs="Arial"/>
        </w:rPr>
        <w:t>oji</w:t>
      </w:r>
      <w:r w:rsidRPr="00E8602A">
        <w:rPr>
          <w:rFonts w:ascii="Arial" w:hAnsi="Arial" w:cs="Arial"/>
        </w:rPr>
        <w:t xml:space="preserve"> kapacit </w:t>
      </w:r>
      <w:proofErr w:type="spellStart"/>
      <w:r w:rsidRPr="00E8602A">
        <w:rPr>
          <w:rFonts w:ascii="Arial" w:hAnsi="Arial" w:cs="Arial"/>
        </w:rPr>
        <w:t>foresightu</w:t>
      </w:r>
      <w:proofErr w:type="spellEnd"/>
      <w:r w:rsidRPr="00E8602A">
        <w:rPr>
          <w:rFonts w:ascii="Arial" w:hAnsi="Arial" w:cs="Arial"/>
        </w:rPr>
        <w:t xml:space="preserve"> na národní úrovni. </w:t>
      </w:r>
    </w:p>
    <w:p w:rsidR="00E8602A" w:rsidRPr="00E8602A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E8602A">
        <w:rPr>
          <w:rFonts w:ascii="Arial" w:hAnsi="Arial" w:cs="Arial"/>
        </w:rPr>
        <w:t xml:space="preserve">Posledním </w:t>
      </w:r>
      <w:r w:rsidR="00475208">
        <w:rPr>
          <w:rFonts w:ascii="Arial" w:hAnsi="Arial" w:cs="Arial"/>
        </w:rPr>
        <w:t xml:space="preserve">hlavním </w:t>
      </w:r>
      <w:r w:rsidRPr="00E8602A">
        <w:rPr>
          <w:rFonts w:ascii="Arial" w:hAnsi="Arial" w:cs="Arial"/>
        </w:rPr>
        <w:t xml:space="preserve">okruhem </w:t>
      </w:r>
      <w:r w:rsidR="00475208">
        <w:rPr>
          <w:rFonts w:ascii="Arial" w:hAnsi="Arial" w:cs="Arial"/>
        </w:rPr>
        <w:t xml:space="preserve">výboru </w:t>
      </w:r>
      <w:r w:rsidRPr="00E8602A">
        <w:rPr>
          <w:rFonts w:ascii="Arial" w:hAnsi="Arial" w:cs="Arial"/>
        </w:rPr>
        <w:t xml:space="preserve">je socioekonomická </w:t>
      </w:r>
      <w:r w:rsidR="00475208">
        <w:rPr>
          <w:rFonts w:ascii="Arial" w:hAnsi="Arial" w:cs="Arial"/>
        </w:rPr>
        <w:t>dimenze udržitelného rozvoje</w:t>
      </w:r>
      <w:r w:rsidRPr="00E8602A">
        <w:rPr>
          <w:rFonts w:ascii="Arial" w:hAnsi="Arial" w:cs="Arial"/>
        </w:rPr>
        <w:t xml:space="preserve">, </w:t>
      </w:r>
      <w:r w:rsidR="00475208">
        <w:rPr>
          <w:rFonts w:ascii="Arial" w:hAnsi="Arial" w:cs="Arial"/>
        </w:rPr>
        <w:t xml:space="preserve">se </w:t>
      </w:r>
      <w:r w:rsidRPr="00E8602A">
        <w:rPr>
          <w:rFonts w:ascii="Arial" w:hAnsi="Arial" w:cs="Arial"/>
        </w:rPr>
        <w:t>kterou</w:t>
      </w:r>
      <w:r w:rsidR="00475208">
        <w:rPr>
          <w:rFonts w:ascii="Arial" w:hAnsi="Arial" w:cs="Arial"/>
        </w:rPr>
        <w:t xml:space="preserve"> </w:t>
      </w:r>
      <w:r w:rsidR="000B2294">
        <w:rPr>
          <w:rFonts w:ascii="Arial" w:hAnsi="Arial" w:cs="Arial"/>
        </w:rPr>
        <w:t>bude na jednání výboru přicházet zejména Ministerstvo životního prostředí (</w:t>
      </w:r>
      <w:r w:rsidRPr="00E8602A">
        <w:rPr>
          <w:rFonts w:ascii="Arial" w:hAnsi="Arial" w:cs="Arial"/>
        </w:rPr>
        <w:t>MŽP</w:t>
      </w:r>
      <w:r w:rsidR="000B2294">
        <w:rPr>
          <w:rFonts w:ascii="Arial" w:hAnsi="Arial" w:cs="Arial"/>
        </w:rPr>
        <w:t>)</w:t>
      </w:r>
      <w:r w:rsidRPr="00E8602A">
        <w:rPr>
          <w:rFonts w:ascii="Arial" w:hAnsi="Arial" w:cs="Arial"/>
        </w:rPr>
        <w:t xml:space="preserve">. Tato oblast zahrnuje informace o pokroku v plnění 2. Implementačního plánu ČR 2030 z klíčových oblastí </w:t>
      </w:r>
      <w:r w:rsidRPr="000B2294">
        <w:rPr>
          <w:rFonts w:ascii="Arial" w:hAnsi="Arial" w:cs="Arial"/>
          <w:i/>
          <w:iCs/>
        </w:rPr>
        <w:t>Lidé a společnost</w:t>
      </w:r>
      <w:r w:rsidRPr="00E8602A">
        <w:rPr>
          <w:rFonts w:ascii="Arial" w:hAnsi="Arial" w:cs="Arial"/>
        </w:rPr>
        <w:t xml:space="preserve"> a </w:t>
      </w:r>
      <w:r w:rsidRPr="000B2294">
        <w:rPr>
          <w:rFonts w:ascii="Arial" w:hAnsi="Arial" w:cs="Arial"/>
          <w:i/>
          <w:iCs/>
        </w:rPr>
        <w:t>Hospodářský model</w:t>
      </w:r>
      <w:r w:rsidRPr="00E8602A">
        <w:rPr>
          <w:rFonts w:ascii="Arial" w:hAnsi="Arial" w:cs="Arial"/>
        </w:rPr>
        <w:t>. Tento okruh bude rovněž podávat informace o evaluacích a monitoringu vybraných strategických dokumentů a pokryje i oblast vybraných aspektů projektu Koherence politik pro udržitelný rozvoj.</w:t>
      </w:r>
    </w:p>
    <w:p w:rsidR="004F1568" w:rsidRDefault="0080300A" w:rsidP="00510A2E">
      <w:pPr>
        <w:spacing w:before="240" w:after="12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</w:t>
      </w:r>
      <w:r w:rsidRPr="00C01C64">
        <w:rPr>
          <w:rFonts w:ascii="Arial" w:hAnsi="Arial" w:cs="Arial"/>
          <w:b/>
          <w:u w:val="single"/>
        </w:rPr>
        <w:t xml:space="preserve">od programu </w:t>
      </w:r>
      <w:r>
        <w:rPr>
          <w:rFonts w:ascii="Arial" w:hAnsi="Arial" w:cs="Arial"/>
          <w:b/>
          <w:u w:val="single"/>
        </w:rPr>
        <w:t>3</w:t>
      </w:r>
      <w:r w:rsidR="00393D51">
        <w:rPr>
          <w:rFonts w:ascii="Arial" w:hAnsi="Arial" w:cs="Arial"/>
          <w:b/>
          <w:u w:val="single"/>
        </w:rPr>
        <w:t xml:space="preserve">) </w:t>
      </w:r>
      <w:r w:rsidR="00995C9F" w:rsidRPr="00995C9F">
        <w:rPr>
          <w:rFonts w:ascii="Arial" w:hAnsi="Arial" w:cs="Arial"/>
          <w:b/>
          <w:u w:val="single"/>
        </w:rPr>
        <w:t>Aktuality v oblasti analytické činnosti (PSSAÚ, VAÚ)</w:t>
      </w:r>
    </w:p>
    <w:p w:rsidR="00E8602A" w:rsidRPr="00E8602A" w:rsidRDefault="00590348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P. Žáková</w:t>
      </w:r>
      <w:r w:rsidR="00E8602A" w:rsidRPr="00E8602A">
        <w:rPr>
          <w:rFonts w:ascii="Arial" w:hAnsi="Arial" w:cs="Arial"/>
        </w:rPr>
        <w:t xml:space="preserve"> omluvila nepřítomnost Stanislava </w:t>
      </w:r>
      <w:proofErr w:type="spellStart"/>
      <w:r w:rsidR="00E8602A" w:rsidRPr="00E8602A">
        <w:rPr>
          <w:rFonts w:ascii="Arial" w:hAnsi="Arial" w:cs="Arial"/>
        </w:rPr>
        <w:t>Volčíka</w:t>
      </w:r>
      <w:proofErr w:type="spellEnd"/>
      <w:r w:rsidR="00E8602A" w:rsidRPr="00E8602A">
        <w:rPr>
          <w:rFonts w:ascii="Arial" w:hAnsi="Arial" w:cs="Arial"/>
        </w:rPr>
        <w:t xml:space="preserve">, který se tohoto jednání nemohl zúčastnit </w:t>
      </w:r>
      <w:r w:rsidR="000B2294">
        <w:rPr>
          <w:rFonts w:ascii="Arial" w:hAnsi="Arial" w:cs="Arial"/>
        </w:rPr>
        <w:t>z</w:t>
      </w:r>
      <w:r w:rsidR="00CB4DE3">
        <w:rPr>
          <w:rFonts w:ascii="Arial" w:hAnsi="Arial" w:cs="Arial"/>
        </w:rPr>
        <w:t> </w:t>
      </w:r>
      <w:r w:rsidR="000B2294">
        <w:rPr>
          <w:rFonts w:ascii="Arial" w:hAnsi="Arial" w:cs="Arial"/>
        </w:rPr>
        <w:t>důvodu</w:t>
      </w:r>
      <w:r w:rsidR="00E8602A" w:rsidRPr="00E8602A">
        <w:rPr>
          <w:rFonts w:ascii="Arial" w:hAnsi="Arial" w:cs="Arial"/>
        </w:rPr>
        <w:t xml:space="preserve"> pracovní cest</w:t>
      </w:r>
      <w:r w:rsidR="000B2294">
        <w:rPr>
          <w:rFonts w:ascii="Arial" w:hAnsi="Arial" w:cs="Arial"/>
        </w:rPr>
        <w:t>y</w:t>
      </w:r>
      <w:r w:rsidR="00E8602A" w:rsidRPr="00E8602A">
        <w:rPr>
          <w:rFonts w:ascii="Arial" w:hAnsi="Arial" w:cs="Arial"/>
        </w:rPr>
        <w:t>. Následně požádala Šimona Vydru</w:t>
      </w:r>
      <w:r w:rsidR="000B2294">
        <w:rPr>
          <w:rFonts w:ascii="Arial" w:hAnsi="Arial" w:cs="Arial"/>
        </w:rPr>
        <w:t>,</w:t>
      </w:r>
      <w:r w:rsidR="00E8602A" w:rsidRPr="00E8602A">
        <w:rPr>
          <w:rFonts w:ascii="Arial" w:hAnsi="Arial" w:cs="Arial"/>
        </w:rPr>
        <w:t xml:space="preserve"> vedoucího oddělení legislativních analýz na ÚV, aby představil současné novinky v oblasti analytické činnosti.</w:t>
      </w:r>
    </w:p>
    <w:p w:rsidR="000B2294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Š. Vydra</w:t>
      </w:r>
      <w:r w:rsidR="00590348">
        <w:rPr>
          <w:rFonts w:ascii="Arial" w:hAnsi="Arial" w:cs="Arial"/>
          <w:b/>
        </w:rPr>
        <w:t xml:space="preserve"> (ÚV)</w:t>
      </w:r>
      <w:r w:rsidRPr="00E8602A">
        <w:rPr>
          <w:rFonts w:ascii="Arial" w:hAnsi="Arial" w:cs="Arial"/>
        </w:rPr>
        <w:t xml:space="preserve"> informoval, že v tomto bodě zastoupí Stanislava </w:t>
      </w:r>
      <w:proofErr w:type="spellStart"/>
      <w:r w:rsidRPr="00E8602A">
        <w:rPr>
          <w:rFonts w:ascii="Arial" w:hAnsi="Arial" w:cs="Arial"/>
        </w:rPr>
        <w:t>Volčíka</w:t>
      </w:r>
      <w:proofErr w:type="spellEnd"/>
      <w:r w:rsidRPr="00E8602A">
        <w:rPr>
          <w:rFonts w:ascii="Arial" w:hAnsi="Arial" w:cs="Arial"/>
        </w:rPr>
        <w:t xml:space="preserve">, který vede </w:t>
      </w:r>
      <w:r w:rsidR="00443A20">
        <w:rPr>
          <w:rFonts w:ascii="Arial" w:hAnsi="Arial" w:cs="Arial"/>
        </w:rPr>
        <w:t>PSSAÚ</w:t>
      </w:r>
      <w:r w:rsidRPr="00E8602A">
        <w:rPr>
          <w:rFonts w:ascii="Arial" w:hAnsi="Arial" w:cs="Arial"/>
        </w:rPr>
        <w:t xml:space="preserve">. Tato skupina na pravidelné bázi spolupracuje s </w:t>
      </w:r>
      <w:r w:rsidR="00443A20">
        <w:rPr>
          <w:rFonts w:ascii="Arial" w:hAnsi="Arial" w:cs="Arial"/>
        </w:rPr>
        <w:t>VAÚ</w:t>
      </w:r>
      <w:r w:rsidRPr="00E8602A">
        <w:rPr>
          <w:rFonts w:ascii="Arial" w:hAnsi="Arial" w:cs="Arial"/>
        </w:rPr>
        <w:t xml:space="preserve"> </w:t>
      </w:r>
      <w:r w:rsidR="00443A20">
        <w:rPr>
          <w:rFonts w:ascii="Arial" w:hAnsi="Arial" w:cs="Arial"/>
        </w:rPr>
        <w:t xml:space="preserve">a </w:t>
      </w:r>
      <w:r w:rsidRPr="00E8602A">
        <w:rPr>
          <w:rFonts w:ascii="Arial" w:hAnsi="Arial" w:cs="Arial"/>
        </w:rPr>
        <w:t xml:space="preserve">slouží jako platforma pro širší sdílení informací mezi analytiky ve státní správě. Uvedl několik základních </w:t>
      </w:r>
      <w:r w:rsidR="000B2294">
        <w:rPr>
          <w:rFonts w:ascii="Arial" w:hAnsi="Arial" w:cs="Arial"/>
        </w:rPr>
        <w:t>běžících</w:t>
      </w:r>
      <w:r w:rsidRPr="00E8602A">
        <w:rPr>
          <w:rFonts w:ascii="Arial" w:hAnsi="Arial" w:cs="Arial"/>
        </w:rPr>
        <w:t xml:space="preserve"> programů, které podporují analytickou činnost. </w:t>
      </w:r>
    </w:p>
    <w:p w:rsidR="000B2294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E8602A">
        <w:rPr>
          <w:rFonts w:ascii="Arial" w:hAnsi="Arial" w:cs="Arial"/>
        </w:rPr>
        <w:t>Prvním z nich je komponenta 4.</w:t>
      </w:r>
      <w:r w:rsidR="00443A20">
        <w:rPr>
          <w:rFonts w:ascii="Arial" w:hAnsi="Arial" w:cs="Arial"/>
        </w:rPr>
        <w:t xml:space="preserve">4 </w:t>
      </w:r>
      <w:r w:rsidR="000B2294">
        <w:rPr>
          <w:rFonts w:ascii="Arial" w:hAnsi="Arial" w:cs="Arial"/>
        </w:rPr>
        <w:t>v</w:t>
      </w:r>
      <w:r w:rsidR="00443A20">
        <w:rPr>
          <w:rFonts w:ascii="Arial" w:hAnsi="Arial" w:cs="Arial"/>
        </w:rPr>
        <w:t xml:space="preserve"> N</w:t>
      </w:r>
      <w:r w:rsidR="00D8756A">
        <w:rPr>
          <w:rFonts w:ascii="Arial" w:hAnsi="Arial" w:cs="Arial"/>
        </w:rPr>
        <w:t>PO</w:t>
      </w:r>
      <w:r w:rsidRPr="00E8602A">
        <w:rPr>
          <w:rFonts w:ascii="Arial" w:hAnsi="Arial" w:cs="Arial"/>
        </w:rPr>
        <w:t>, která se zaměřuje na vytvoření analytických jednotek na několika resort</w:t>
      </w:r>
      <w:r w:rsidR="000B2294">
        <w:rPr>
          <w:rFonts w:ascii="Arial" w:hAnsi="Arial" w:cs="Arial"/>
        </w:rPr>
        <w:t>ech</w:t>
      </w:r>
      <w:r w:rsidRPr="00E8602A">
        <w:rPr>
          <w:rFonts w:ascii="Arial" w:hAnsi="Arial" w:cs="Arial"/>
        </w:rPr>
        <w:t xml:space="preserve">. V rámci této komponenty vznikla </w:t>
      </w:r>
      <w:r w:rsidR="00443A20" w:rsidRPr="00E8602A">
        <w:rPr>
          <w:rFonts w:ascii="Arial" w:hAnsi="Arial" w:cs="Arial"/>
        </w:rPr>
        <w:t xml:space="preserve">samostatná analytická oddělení </w:t>
      </w:r>
      <w:r w:rsidRPr="00E8602A">
        <w:rPr>
          <w:rFonts w:ascii="Arial" w:hAnsi="Arial" w:cs="Arial"/>
        </w:rPr>
        <w:t xml:space="preserve">na MMR, MF, MPSV, </w:t>
      </w:r>
      <w:proofErr w:type="spellStart"/>
      <w:r w:rsidRPr="00E8602A">
        <w:rPr>
          <w:rFonts w:ascii="Arial" w:hAnsi="Arial" w:cs="Arial"/>
        </w:rPr>
        <w:t>MSp</w:t>
      </w:r>
      <w:proofErr w:type="spellEnd"/>
      <w:r w:rsidR="000B2294">
        <w:rPr>
          <w:rFonts w:ascii="Arial" w:hAnsi="Arial" w:cs="Arial"/>
        </w:rPr>
        <w:t>. N</w:t>
      </w:r>
      <w:r w:rsidRPr="00E8602A">
        <w:rPr>
          <w:rFonts w:ascii="Arial" w:hAnsi="Arial" w:cs="Arial"/>
        </w:rPr>
        <w:t>a MPO, ÚV a MŽP došlo k posílení stávajících analytických jednotek. Jejich primární agendu tvoří ex post ev</w:t>
      </w:r>
      <w:r w:rsidR="00443A20">
        <w:rPr>
          <w:rFonts w:ascii="Arial" w:hAnsi="Arial" w:cs="Arial"/>
        </w:rPr>
        <w:t>aluace</w:t>
      </w:r>
      <w:r w:rsidR="000B2294">
        <w:rPr>
          <w:rFonts w:ascii="Arial" w:hAnsi="Arial" w:cs="Arial"/>
        </w:rPr>
        <w:t>.</w:t>
      </w:r>
      <w:r w:rsidR="00443A20">
        <w:rPr>
          <w:rFonts w:ascii="Arial" w:hAnsi="Arial" w:cs="Arial"/>
        </w:rPr>
        <w:t xml:space="preserve"> </w:t>
      </w:r>
      <w:r w:rsidR="000B2294">
        <w:rPr>
          <w:rFonts w:ascii="Arial" w:hAnsi="Arial" w:cs="Arial"/>
        </w:rPr>
        <w:t>D</w:t>
      </w:r>
      <w:r w:rsidR="00443A20">
        <w:rPr>
          <w:rFonts w:ascii="Arial" w:hAnsi="Arial" w:cs="Arial"/>
        </w:rPr>
        <w:t>o budoucna je ambice za</w:t>
      </w:r>
      <w:r w:rsidRPr="00E8602A">
        <w:rPr>
          <w:rFonts w:ascii="Arial" w:hAnsi="Arial" w:cs="Arial"/>
        </w:rPr>
        <w:t>měřit se i na ex ante RIA připravo</w:t>
      </w:r>
      <w:r w:rsidR="00443A20">
        <w:rPr>
          <w:rFonts w:ascii="Arial" w:hAnsi="Arial" w:cs="Arial"/>
        </w:rPr>
        <w:t>vané legislativy. Milníkem v N</w:t>
      </w:r>
      <w:r w:rsidR="00D8756A">
        <w:rPr>
          <w:rFonts w:ascii="Arial" w:hAnsi="Arial" w:cs="Arial"/>
        </w:rPr>
        <w:t>PO</w:t>
      </w:r>
      <w:r w:rsidRPr="00E8602A">
        <w:rPr>
          <w:rFonts w:ascii="Arial" w:hAnsi="Arial" w:cs="Arial"/>
        </w:rPr>
        <w:t xml:space="preserve"> je v tomto případě vytvoření nové metodiky pro hodnocení dopadů regulace. </w:t>
      </w:r>
    </w:p>
    <w:p w:rsidR="00CB4DE3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E8602A">
        <w:rPr>
          <w:rFonts w:ascii="Arial" w:hAnsi="Arial" w:cs="Arial"/>
        </w:rPr>
        <w:t xml:space="preserve">Dalším příkladem úspěšně fungujících programů na podporu analytické činnosti jsou dva projekty </w:t>
      </w:r>
      <w:r w:rsidR="000B2294">
        <w:rPr>
          <w:rFonts w:ascii="Arial" w:hAnsi="Arial" w:cs="Arial"/>
        </w:rPr>
        <w:t>financované z Nástroje pro technickou podporu</w:t>
      </w:r>
      <w:r w:rsidR="000B2294" w:rsidRPr="00E8602A">
        <w:rPr>
          <w:rFonts w:ascii="Arial" w:hAnsi="Arial" w:cs="Arial"/>
        </w:rPr>
        <w:t xml:space="preserve"> </w:t>
      </w:r>
      <w:r w:rsidRPr="00E8602A">
        <w:rPr>
          <w:rFonts w:ascii="Arial" w:hAnsi="Arial" w:cs="Arial"/>
        </w:rPr>
        <w:t>(</w:t>
      </w:r>
      <w:proofErr w:type="spellStart"/>
      <w:r w:rsidRPr="00E8602A">
        <w:rPr>
          <w:rFonts w:ascii="Arial" w:hAnsi="Arial" w:cs="Arial"/>
        </w:rPr>
        <w:t>Technical</w:t>
      </w:r>
      <w:proofErr w:type="spellEnd"/>
      <w:r w:rsidRPr="00E8602A">
        <w:rPr>
          <w:rFonts w:ascii="Arial" w:hAnsi="Arial" w:cs="Arial"/>
        </w:rPr>
        <w:t xml:space="preserve"> Support Instrument</w:t>
      </w:r>
      <w:r w:rsidR="000B2294">
        <w:rPr>
          <w:rFonts w:ascii="Arial" w:hAnsi="Arial" w:cs="Arial"/>
        </w:rPr>
        <w:t>, TSI</w:t>
      </w:r>
      <w:r w:rsidRPr="00E8602A">
        <w:rPr>
          <w:rFonts w:ascii="Arial" w:hAnsi="Arial" w:cs="Arial"/>
        </w:rPr>
        <w:t xml:space="preserve">). </w:t>
      </w:r>
      <w:r w:rsidR="00CB4DE3">
        <w:rPr>
          <w:rFonts w:ascii="Arial" w:hAnsi="Arial" w:cs="Arial"/>
        </w:rPr>
        <w:t xml:space="preserve">Základní informace o TSI: </w:t>
      </w:r>
      <w:hyperlink r:id="rId7" w:history="1">
        <w:r w:rsidR="00CB4DE3" w:rsidRPr="00324154">
          <w:rPr>
            <w:rStyle w:val="Hypertextovodkaz"/>
            <w:rFonts w:ascii="Arial" w:hAnsi="Arial" w:cs="Arial"/>
          </w:rPr>
          <w:t>https://vlada.gov.cz/cz/evropske-zalezitosti/podpora-strukturalnich-reforem/program-na-podporu-strukturalnich-reforem--174689/</w:t>
        </w:r>
      </w:hyperlink>
    </w:p>
    <w:p w:rsidR="00CB4DE3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E8602A">
        <w:rPr>
          <w:rFonts w:ascii="Arial" w:hAnsi="Arial" w:cs="Arial"/>
        </w:rPr>
        <w:t xml:space="preserve">První projekt </w:t>
      </w:r>
      <w:r w:rsidR="000B2294">
        <w:rPr>
          <w:rFonts w:ascii="Arial" w:hAnsi="Arial" w:cs="Arial"/>
        </w:rPr>
        <w:t xml:space="preserve">TSI </w:t>
      </w:r>
      <w:r w:rsidRPr="00E8602A">
        <w:rPr>
          <w:rFonts w:ascii="Arial" w:hAnsi="Arial" w:cs="Arial"/>
        </w:rPr>
        <w:t>je zaměřen na budování kapacity ve veřejné správě na základě poznatků a dat. Projekt vznikl ve spolupráci s</w:t>
      </w:r>
      <w:r w:rsidR="000B2294">
        <w:rPr>
          <w:rFonts w:ascii="Arial" w:hAnsi="Arial" w:cs="Arial"/>
        </w:rPr>
        <w:t xml:space="preserve"> Evropskou komisí (konkrétně </w:t>
      </w:r>
      <w:r w:rsidRPr="00E8602A">
        <w:rPr>
          <w:rFonts w:ascii="Arial" w:hAnsi="Arial" w:cs="Arial"/>
        </w:rPr>
        <w:t>DG REFORM</w:t>
      </w:r>
      <w:r w:rsidR="000B2294">
        <w:rPr>
          <w:rFonts w:ascii="Arial" w:hAnsi="Arial" w:cs="Arial"/>
        </w:rPr>
        <w:t>)</w:t>
      </w:r>
      <w:r w:rsidRPr="00E8602A">
        <w:rPr>
          <w:rFonts w:ascii="Arial" w:hAnsi="Arial" w:cs="Arial"/>
        </w:rPr>
        <w:t xml:space="preserve"> a OECD. Je v pokročilé fázi, </w:t>
      </w:r>
      <w:r w:rsidR="000B2294">
        <w:rPr>
          <w:rFonts w:ascii="Arial" w:hAnsi="Arial" w:cs="Arial"/>
        </w:rPr>
        <w:t>aktuálně</w:t>
      </w:r>
      <w:r w:rsidRPr="00E8602A">
        <w:rPr>
          <w:rFonts w:ascii="Arial" w:hAnsi="Arial" w:cs="Arial"/>
        </w:rPr>
        <w:t xml:space="preserve"> se vytváří tz</w:t>
      </w:r>
      <w:r w:rsidR="00CB4DE3">
        <w:rPr>
          <w:rFonts w:ascii="Arial" w:hAnsi="Arial" w:cs="Arial"/>
        </w:rPr>
        <w:t>v</w:t>
      </w:r>
      <w:r w:rsidRPr="00E8602A">
        <w:rPr>
          <w:rFonts w:ascii="Arial" w:hAnsi="Arial" w:cs="Arial"/>
        </w:rPr>
        <w:t xml:space="preserve">. </w:t>
      </w:r>
      <w:r w:rsidR="000B2294">
        <w:rPr>
          <w:rFonts w:ascii="Arial" w:hAnsi="Arial" w:cs="Arial"/>
        </w:rPr>
        <w:t>cestovní mapa (</w:t>
      </w:r>
      <w:proofErr w:type="spellStart"/>
      <w:r w:rsidR="000B2294">
        <w:rPr>
          <w:rFonts w:ascii="Arial" w:hAnsi="Arial" w:cs="Arial"/>
        </w:rPr>
        <w:t>roadmap</w:t>
      </w:r>
      <w:proofErr w:type="spellEnd"/>
      <w:r w:rsidR="000B2294">
        <w:rPr>
          <w:rFonts w:ascii="Arial" w:hAnsi="Arial" w:cs="Arial"/>
        </w:rPr>
        <w:t>)</w:t>
      </w:r>
      <w:r w:rsidRPr="00E8602A">
        <w:rPr>
          <w:rFonts w:ascii="Arial" w:hAnsi="Arial" w:cs="Arial"/>
        </w:rPr>
        <w:t xml:space="preserve">. Garantem </w:t>
      </w:r>
      <w:proofErr w:type="spellStart"/>
      <w:r w:rsidRPr="00E8602A">
        <w:rPr>
          <w:rFonts w:ascii="Arial" w:hAnsi="Arial" w:cs="Arial"/>
        </w:rPr>
        <w:t>roadmap</w:t>
      </w:r>
      <w:proofErr w:type="spellEnd"/>
      <w:r w:rsidRPr="00E8602A">
        <w:rPr>
          <w:rFonts w:ascii="Arial" w:hAnsi="Arial" w:cs="Arial"/>
        </w:rPr>
        <w:t xml:space="preserve"> jsou Univerzita Karlova a České priority. Poskytuje pohled na celý „ekosystém“ a </w:t>
      </w:r>
      <w:r w:rsidR="00B410EB">
        <w:rPr>
          <w:rFonts w:ascii="Arial" w:hAnsi="Arial" w:cs="Arial"/>
        </w:rPr>
        <w:t xml:space="preserve">zabývá se </w:t>
      </w:r>
      <w:r w:rsidRPr="00E8602A">
        <w:rPr>
          <w:rFonts w:ascii="Arial" w:hAnsi="Arial" w:cs="Arial"/>
        </w:rPr>
        <w:t>komplexně vš</w:t>
      </w:r>
      <w:r w:rsidR="00B410EB">
        <w:rPr>
          <w:rFonts w:ascii="Arial" w:hAnsi="Arial" w:cs="Arial"/>
        </w:rPr>
        <w:t>emi</w:t>
      </w:r>
      <w:r w:rsidRPr="00E8602A">
        <w:rPr>
          <w:rFonts w:ascii="Arial" w:hAnsi="Arial" w:cs="Arial"/>
        </w:rPr>
        <w:t xml:space="preserve"> </w:t>
      </w:r>
      <w:r w:rsidR="00B410EB">
        <w:rPr>
          <w:rFonts w:ascii="Arial" w:hAnsi="Arial" w:cs="Arial"/>
        </w:rPr>
        <w:t>složkami</w:t>
      </w:r>
      <w:r w:rsidRPr="00E8602A">
        <w:rPr>
          <w:rFonts w:ascii="Arial" w:hAnsi="Arial" w:cs="Arial"/>
        </w:rPr>
        <w:t xml:space="preserve"> </w:t>
      </w:r>
      <w:r w:rsidRPr="00E8602A">
        <w:rPr>
          <w:rFonts w:ascii="Arial" w:hAnsi="Arial" w:cs="Arial"/>
        </w:rPr>
        <w:lastRenderedPageBreak/>
        <w:t xml:space="preserve">ekosystému – jak </w:t>
      </w:r>
      <w:r>
        <w:rPr>
          <w:rFonts w:ascii="Arial" w:hAnsi="Arial" w:cs="Arial"/>
        </w:rPr>
        <w:t xml:space="preserve">poptávky (definice výzkumných </w:t>
      </w:r>
      <w:r w:rsidRPr="00E8602A">
        <w:rPr>
          <w:rFonts w:ascii="Arial" w:hAnsi="Arial" w:cs="Arial"/>
        </w:rPr>
        <w:t>potřeb, financování výzkumu), tak i nabídky (</w:t>
      </w:r>
      <w:proofErr w:type="spellStart"/>
      <w:r w:rsidRPr="00E8602A">
        <w:rPr>
          <w:rFonts w:ascii="Arial" w:hAnsi="Arial" w:cs="Arial"/>
        </w:rPr>
        <w:t>incentivy</w:t>
      </w:r>
      <w:proofErr w:type="spellEnd"/>
      <w:r w:rsidRPr="00E8602A">
        <w:rPr>
          <w:rFonts w:ascii="Arial" w:hAnsi="Arial" w:cs="Arial"/>
        </w:rPr>
        <w:t xml:space="preserve"> pro akademiky) a zároveň i zprostředkovatelů (systém vědeckého poradenství). </w:t>
      </w:r>
    </w:p>
    <w:p w:rsidR="00CB4DE3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E8602A">
        <w:rPr>
          <w:rFonts w:ascii="Arial" w:hAnsi="Arial" w:cs="Arial"/>
        </w:rPr>
        <w:t xml:space="preserve">Druhý TSI projekt je v počátečních fázích a vznikl ve spolupráci s DG REFORM a UNESCO. Právě proběhla konference </w:t>
      </w:r>
      <w:r w:rsidR="00B410EB">
        <w:rPr>
          <w:rFonts w:ascii="Arial" w:hAnsi="Arial" w:cs="Arial"/>
        </w:rPr>
        <w:t xml:space="preserve">k zahájení projektu </w:t>
      </w:r>
      <w:r w:rsidRPr="00E8602A">
        <w:rPr>
          <w:rFonts w:ascii="Arial" w:hAnsi="Arial" w:cs="Arial"/>
        </w:rPr>
        <w:t xml:space="preserve">a </w:t>
      </w:r>
      <w:proofErr w:type="spellStart"/>
      <w:r w:rsidRPr="00E8602A">
        <w:rPr>
          <w:rFonts w:ascii="Arial" w:hAnsi="Arial" w:cs="Arial"/>
        </w:rPr>
        <w:t>fact-finding</w:t>
      </w:r>
      <w:proofErr w:type="spellEnd"/>
      <w:r w:rsidRPr="00E8602A">
        <w:rPr>
          <w:rFonts w:ascii="Arial" w:hAnsi="Arial" w:cs="Arial"/>
        </w:rPr>
        <w:t xml:space="preserve"> ze strany UNESCO. Poskytuje pohled na interní analytické kapacity státní správy. </w:t>
      </w:r>
    </w:p>
    <w:p w:rsidR="00E8602A" w:rsidRPr="00E8602A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E8602A">
        <w:rPr>
          <w:rFonts w:ascii="Arial" w:hAnsi="Arial" w:cs="Arial"/>
        </w:rPr>
        <w:t>Následně Š. Vydra přešel k popisu činnosti PS</w:t>
      </w:r>
      <w:r w:rsidR="00443A20">
        <w:rPr>
          <w:rFonts w:ascii="Arial" w:hAnsi="Arial" w:cs="Arial"/>
        </w:rPr>
        <w:t>S</w:t>
      </w:r>
      <w:r w:rsidRPr="00E8602A">
        <w:rPr>
          <w:rFonts w:ascii="Arial" w:hAnsi="Arial" w:cs="Arial"/>
        </w:rPr>
        <w:t xml:space="preserve">AÚ, která je intenzivně provázána se všemi zmiňovanými projekty. Tato pracovní skupina zasedá několikrát za rok a organizuje i neformální workshopy pro sdílení dobré praxe a </w:t>
      </w:r>
      <w:r w:rsidR="00DF78A6">
        <w:rPr>
          <w:rFonts w:ascii="Arial" w:hAnsi="Arial" w:cs="Arial"/>
        </w:rPr>
        <w:t xml:space="preserve">osvědčených </w:t>
      </w:r>
      <w:r w:rsidRPr="00E8602A">
        <w:rPr>
          <w:rFonts w:ascii="Arial" w:hAnsi="Arial" w:cs="Arial"/>
        </w:rPr>
        <w:t>nástrojů. Za posledního půlroku proběhl</w:t>
      </w:r>
      <w:r w:rsidR="00DF78A6">
        <w:rPr>
          <w:rFonts w:ascii="Arial" w:hAnsi="Arial" w:cs="Arial"/>
        </w:rPr>
        <w:t>a</w:t>
      </w:r>
      <w:r w:rsidRPr="00E8602A">
        <w:rPr>
          <w:rFonts w:ascii="Arial" w:hAnsi="Arial" w:cs="Arial"/>
        </w:rPr>
        <w:t xml:space="preserve"> </w:t>
      </w:r>
      <w:r w:rsidR="00DF78A6">
        <w:rPr>
          <w:rFonts w:ascii="Arial" w:hAnsi="Arial" w:cs="Arial"/>
        </w:rPr>
        <w:t>dvě</w:t>
      </w:r>
      <w:r w:rsidRPr="00E8602A">
        <w:rPr>
          <w:rFonts w:ascii="Arial" w:hAnsi="Arial" w:cs="Arial"/>
        </w:rPr>
        <w:t xml:space="preserve"> zasedání P</w:t>
      </w:r>
      <w:r w:rsidR="00443A20">
        <w:rPr>
          <w:rFonts w:ascii="Arial" w:hAnsi="Arial" w:cs="Arial"/>
        </w:rPr>
        <w:t>S</w:t>
      </w:r>
      <w:r w:rsidRPr="00E8602A">
        <w:rPr>
          <w:rFonts w:ascii="Arial" w:hAnsi="Arial" w:cs="Arial"/>
        </w:rPr>
        <w:t xml:space="preserve">SAÚ. Na jednání v </w:t>
      </w:r>
      <w:r>
        <w:rPr>
          <w:rFonts w:ascii="Arial" w:hAnsi="Arial" w:cs="Arial"/>
        </w:rPr>
        <w:t>prosinci</w:t>
      </w:r>
      <w:r w:rsidRPr="00E8602A">
        <w:rPr>
          <w:rFonts w:ascii="Arial" w:hAnsi="Arial" w:cs="Arial"/>
        </w:rPr>
        <w:t xml:space="preserve"> 2023 byl diskutován připravovaný zákon o správě dat </w:t>
      </w:r>
      <w:r w:rsidR="00DF78A6">
        <w:rPr>
          <w:rFonts w:ascii="Arial" w:hAnsi="Arial" w:cs="Arial"/>
        </w:rPr>
        <w:t xml:space="preserve">ve </w:t>
      </w:r>
      <w:r w:rsidRPr="00E8602A">
        <w:rPr>
          <w:rFonts w:ascii="Arial" w:hAnsi="Arial" w:cs="Arial"/>
        </w:rPr>
        <w:t>veřejné</w:t>
      </w:r>
      <w:r w:rsidR="00DF78A6">
        <w:rPr>
          <w:rFonts w:ascii="Arial" w:hAnsi="Arial" w:cs="Arial"/>
        </w:rPr>
        <w:t>m</w:t>
      </w:r>
      <w:r w:rsidRPr="00E8602A">
        <w:rPr>
          <w:rFonts w:ascii="Arial" w:hAnsi="Arial" w:cs="Arial"/>
        </w:rPr>
        <w:t xml:space="preserve"> sektoru. Proběhla debata o částech zákona a jeho vlivu na budoucí analytickou práci veřejné správy. V</w:t>
      </w:r>
      <w:r w:rsidR="00CB4DE3">
        <w:rPr>
          <w:rFonts w:ascii="Arial" w:hAnsi="Arial" w:cs="Arial"/>
        </w:rPr>
        <w:t> </w:t>
      </w:r>
      <w:r w:rsidRPr="00E8602A">
        <w:rPr>
          <w:rFonts w:ascii="Arial" w:hAnsi="Arial" w:cs="Arial"/>
        </w:rPr>
        <w:t xml:space="preserve">březnu letošního roku proběhlo další jednání, na agendě byla debata o implementaci části reformy transferu znalostí. VAÚ ve spolupráci s PSSAÚ </w:t>
      </w:r>
      <w:r w:rsidR="00443A20">
        <w:rPr>
          <w:rFonts w:ascii="Arial" w:hAnsi="Arial" w:cs="Arial"/>
        </w:rPr>
        <w:t xml:space="preserve">rovněž </w:t>
      </w:r>
      <w:r w:rsidRPr="00E8602A">
        <w:rPr>
          <w:rFonts w:ascii="Arial" w:hAnsi="Arial" w:cs="Arial"/>
        </w:rPr>
        <w:t>připravují semináře k představení nových analytických nástrojů a metodik.</w:t>
      </w:r>
    </w:p>
    <w:p w:rsidR="00E8602A" w:rsidRPr="00E8602A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P. Žáková</w:t>
      </w:r>
      <w:r w:rsidRPr="00E8602A">
        <w:rPr>
          <w:rFonts w:ascii="Arial" w:hAnsi="Arial" w:cs="Arial"/>
        </w:rPr>
        <w:t xml:space="preserve"> poděkovala za představení aktualit v oblasti analytické činnosti. Ocenila, že se analytické činnosti ve státní správě úspěšně rozvíjejí.</w:t>
      </w:r>
    </w:p>
    <w:p w:rsidR="00E8602A" w:rsidRPr="00E8602A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J. Nekovář</w:t>
      </w:r>
      <w:r w:rsidR="00590348">
        <w:rPr>
          <w:rFonts w:ascii="Arial" w:hAnsi="Arial" w:cs="Arial"/>
        </w:rPr>
        <w:t xml:space="preserve"> </w:t>
      </w:r>
      <w:r w:rsidR="00590348" w:rsidRPr="00590348">
        <w:rPr>
          <w:rFonts w:ascii="Arial" w:hAnsi="Arial" w:cs="Arial"/>
          <w:b/>
        </w:rPr>
        <w:t>(Euro-trend)</w:t>
      </w:r>
      <w:r w:rsidRPr="00E8602A">
        <w:rPr>
          <w:rFonts w:ascii="Arial" w:hAnsi="Arial" w:cs="Arial"/>
        </w:rPr>
        <w:t xml:space="preserve"> vyjádřil pochybnosti</w:t>
      </w:r>
      <w:r>
        <w:rPr>
          <w:rFonts w:ascii="Arial" w:hAnsi="Arial" w:cs="Arial"/>
        </w:rPr>
        <w:t>,</w:t>
      </w:r>
      <w:r w:rsidRPr="00E8602A">
        <w:rPr>
          <w:rFonts w:ascii="Arial" w:hAnsi="Arial" w:cs="Arial"/>
        </w:rPr>
        <w:t xml:space="preserve"> nakolik jsou závěry z analytických činností brány na vědomí politickou </w:t>
      </w:r>
      <w:r w:rsidR="00CB4DE3">
        <w:rPr>
          <w:rFonts w:ascii="Arial" w:hAnsi="Arial" w:cs="Arial"/>
        </w:rPr>
        <w:t>reprezentací.</w:t>
      </w:r>
      <w:r w:rsidRPr="00E8602A">
        <w:rPr>
          <w:rFonts w:ascii="Arial" w:hAnsi="Arial" w:cs="Arial"/>
        </w:rPr>
        <w:t xml:space="preserve"> Který ministr si vyžádal RIA, než zformuloval své zadání? Poznamenal, že například vládní konsolidační balíček neměl RIA. Požádal o uvedení příkladu, kdy se analytick</w:t>
      </w:r>
      <w:r w:rsidR="00CB4DE3">
        <w:rPr>
          <w:rFonts w:ascii="Arial" w:hAnsi="Arial" w:cs="Arial"/>
        </w:rPr>
        <w:t>á práce</w:t>
      </w:r>
      <w:r w:rsidRPr="00E8602A">
        <w:rPr>
          <w:rFonts w:ascii="Arial" w:hAnsi="Arial" w:cs="Arial"/>
        </w:rPr>
        <w:t xml:space="preserve"> p</w:t>
      </w:r>
      <w:r w:rsidR="00CB4DE3">
        <w:rPr>
          <w:rFonts w:ascii="Arial" w:hAnsi="Arial" w:cs="Arial"/>
        </w:rPr>
        <w:t>ro</w:t>
      </w:r>
      <w:r w:rsidRPr="00E8602A">
        <w:rPr>
          <w:rFonts w:ascii="Arial" w:hAnsi="Arial" w:cs="Arial"/>
        </w:rPr>
        <w:t>píše do procesu přípravy zákona. Rovněž se dotázal na příklady zákonů, při kterých probíhá ex</w:t>
      </w:r>
      <w:r w:rsidR="00DF78A6">
        <w:rPr>
          <w:rFonts w:ascii="Arial" w:hAnsi="Arial" w:cs="Arial"/>
        </w:rPr>
        <w:t>-</w:t>
      </w:r>
      <w:r w:rsidRPr="00E8602A">
        <w:rPr>
          <w:rFonts w:ascii="Arial" w:hAnsi="Arial" w:cs="Arial"/>
        </w:rPr>
        <w:t>post evaluace.</w:t>
      </w:r>
    </w:p>
    <w:p w:rsidR="00E8602A" w:rsidRPr="00E8602A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Š. Vydra</w:t>
      </w:r>
      <w:r w:rsidRPr="00E8602A">
        <w:rPr>
          <w:rFonts w:ascii="Arial" w:hAnsi="Arial" w:cs="Arial"/>
        </w:rPr>
        <w:t xml:space="preserve"> souhlasil s opodstatněností kritiky procesu RIA, aktuálně se pracuje na změně tohoto procesu. Následně Š. Vydra uvedl příklady zákonů, které byly připravovány na základě informovaného </w:t>
      </w:r>
      <w:r w:rsidR="000F733E">
        <w:rPr>
          <w:rFonts w:ascii="Arial" w:hAnsi="Arial" w:cs="Arial"/>
        </w:rPr>
        <w:t>rozhodování</w:t>
      </w:r>
      <w:r w:rsidRPr="00E8602A">
        <w:rPr>
          <w:rFonts w:ascii="Arial" w:hAnsi="Arial" w:cs="Arial"/>
        </w:rPr>
        <w:t xml:space="preserve"> RIA vyžádané ministry - zákon o podpoře cestovního ruchu, zákon o</w:t>
      </w:r>
      <w:r w:rsidR="00CB4DE3">
        <w:rPr>
          <w:rFonts w:ascii="Arial" w:hAnsi="Arial" w:cs="Arial"/>
        </w:rPr>
        <w:t> </w:t>
      </w:r>
      <w:r w:rsidRPr="00E8602A">
        <w:rPr>
          <w:rFonts w:ascii="Arial" w:hAnsi="Arial" w:cs="Arial"/>
        </w:rPr>
        <w:t xml:space="preserve">dostupném bydlení, </w:t>
      </w:r>
      <w:r w:rsidR="00CB4DE3">
        <w:rPr>
          <w:rFonts w:ascii="Arial" w:hAnsi="Arial" w:cs="Arial"/>
        </w:rPr>
        <w:t xml:space="preserve">legislativní změny u nepojistných sociálních dávek (zřízení tzv. </w:t>
      </w:r>
      <w:proofErr w:type="spellStart"/>
      <w:r w:rsidRPr="00E8602A">
        <w:rPr>
          <w:rFonts w:ascii="Arial" w:hAnsi="Arial" w:cs="Arial"/>
        </w:rPr>
        <w:t>superdávk</w:t>
      </w:r>
      <w:r w:rsidR="00CB4DE3">
        <w:rPr>
          <w:rFonts w:ascii="Arial" w:hAnsi="Arial" w:cs="Arial"/>
        </w:rPr>
        <w:t>y</w:t>
      </w:r>
      <w:proofErr w:type="spellEnd"/>
      <w:r w:rsidR="00CB4DE3">
        <w:rPr>
          <w:rFonts w:ascii="Arial" w:hAnsi="Arial" w:cs="Arial"/>
        </w:rPr>
        <w:t>)</w:t>
      </w:r>
      <w:r w:rsidRPr="00E8602A">
        <w:rPr>
          <w:rFonts w:ascii="Arial" w:hAnsi="Arial" w:cs="Arial"/>
        </w:rPr>
        <w:t>. Co se týče zákonů</w:t>
      </w:r>
      <w:r>
        <w:rPr>
          <w:rFonts w:ascii="Arial" w:hAnsi="Arial" w:cs="Arial"/>
        </w:rPr>
        <w:t>,</w:t>
      </w:r>
      <w:r w:rsidRPr="00E8602A">
        <w:rPr>
          <w:rFonts w:ascii="Arial" w:hAnsi="Arial" w:cs="Arial"/>
        </w:rPr>
        <w:t xml:space="preserve"> při kterých by měla probíhat ex post RIA, zatím jich není mnoho, aktuálně je to primárně v procesní rovině.</w:t>
      </w:r>
    </w:p>
    <w:p w:rsidR="00E8602A" w:rsidRPr="00E8602A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J. Simonová</w:t>
      </w:r>
      <w:r w:rsidRPr="00E8602A">
        <w:rPr>
          <w:rFonts w:ascii="Arial" w:hAnsi="Arial" w:cs="Arial"/>
        </w:rPr>
        <w:t xml:space="preserve"> položila</w:t>
      </w:r>
      <w:r w:rsidR="000F733E">
        <w:rPr>
          <w:rFonts w:ascii="Arial" w:hAnsi="Arial" w:cs="Arial"/>
        </w:rPr>
        <w:t xml:space="preserve"> otázku </w:t>
      </w:r>
      <w:r w:rsidR="00CB4DE3">
        <w:rPr>
          <w:rFonts w:ascii="Arial" w:hAnsi="Arial" w:cs="Arial"/>
        </w:rPr>
        <w:t>na</w:t>
      </w:r>
      <w:r w:rsidR="000F733E">
        <w:rPr>
          <w:rFonts w:ascii="Arial" w:hAnsi="Arial" w:cs="Arial"/>
        </w:rPr>
        <w:t xml:space="preserve"> spolupráci VAÚ</w:t>
      </w:r>
      <w:r w:rsidRPr="00E8602A">
        <w:rPr>
          <w:rFonts w:ascii="Arial" w:hAnsi="Arial" w:cs="Arial"/>
        </w:rPr>
        <w:t xml:space="preserve"> s dalšími analytickými útvary.</w:t>
      </w:r>
    </w:p>
    <w:p w:rsidR="00E8602A" w:rsidRPr="00E8602A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Š. Vydra</w:t>
      </w:r>
      <w:r w:rsidRPr="00E8602A">
        <w:rPr>
          <w:rFonts w:ascii="Arial" w:hAnsi="Arial" w:cs="Arial"/>
        </w:rPr>
        <w:t xml:space="preserve"> objasnil, že VAÚ poskytuje podporu jednotlivým</w:t>
      </w:r>
      <w:r w:rsidR="000F733E">
        <w:rPr>
          <w:rFonts w:ascii="Arial" w:hAnsi="Arial" w:cs="Arial"/>
        </w:rPr>
        <w:t xml:space="preserve"> analytickým jednotkám ve smyslu </w:t>
      </w:r>
      <w:r w:rsidRPr="00E8602A">
        <w:rPr>
          <w:rFonts w:ascii="Arial" w:hAnsi="Arial" w:cs="Arial"/>
        </w:rPr>
        <w:t>expertízy a technických nástrojů.</w:t>
      </w:r>
    </w:p>
    <w:p w:rsidR="00E8602A" w:rsidRPr="00E8602A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J. Nekovář</w:t>
      </w:r>
      <w:r w:rsidRPr="00E8602A">
        <w:rPr>
          <w:rFonts w:ascii="Arial" w:hAnsi="Arial" w:cs="Arial"/>
        </w:rPr>
        <w:t xml:space="preserve"> se zeptal na existenci seznamu </w:t>
      </w:r>
      <w:r w:rsidR="00B164FC">
        <w:rPr>
          <w:rFonts w:ascii="Arial" w:hAnsi="Arial" w:cs="Arial"/>
        </w:rPr>
        <w:t xml:space="preserve">strategií a </w:t>
      </w:r>
      <w:r w:rsidRPr="00E8602A">
        <w:rPr>
          <w:rFonts w:ascii="Arial" w:hAnsi="Arial" w:cs="Arial"/>
        </w:rPr>
        <w:t>analýz.</w:t>
      </w:r>
    </w:p>
    <w:p w:rsidR="00E8602A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V. Klusák</w:t>
      </w:r>
      <w:r w:rsidR="00590348">
        <w:rPr>
          <w:rFonts w:ascii="Arial" w:hAnsi="Arial" w:cs="Arial"/>
          <w:b/>
        </w:rPr>
        <w:t xml:space="preserve"> (ÚV)</w:t>
      </w:r>
      <w:r w:rsidRPr="00E8602A">
        <w:rPr>
          <w:rFonts w:ascii="Arial" w:hAnsi="Arial" w:cs="Arial"/>
        </w:rPr>
        <w:t xml:space="preserve"> reagoval s tím, že existuje Databáze strategií, do které jsou vkládány strategie na státní úrovni, či na úrovni krajů. Databázi strategií spravuje MMR a je pravidelně aktualizována.</w:t>
      </w:r>
      <w:r w:rsidR="00B164FC">
        <w:rPr>
          <w:rFonts w:ascii="Arial" w:hAnsi="Arial" w:cs="Arial"/>
        </w:rPr>
        <w:t xml:space="preserve"> Odkaz na databázi: </w:t>
      </w:r>
      <w:hyperlink r:id="rId8" w:history="1">
        <w:r w:rsidR="00B164FC" w:rsidRPr="00324154">
          <w:rPr>
            <w:rStyle w:val="Hypertextovodkaz"/>
            <w:rFonts w:ascii="Arial" w:hAnsi="Arial" w:cs="Arial"/>
          </w:rPr>
          <w:t>https://www.databaze-strategie.cz/</w:t>
        </w:r>
      </w:hyperlink>
    </w:p>
    <w:p w:rsidR="00B164FC" w:rsidRDefault="00B164FC" w:rsidP="00510A2E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Centrální databáze analýz pravděpodobně dosud neexistuje.</w:t>
      </w:r>
    </w:p>
    <w:p w:rsidR="00E8602A" w:rsidRPr="00E8602A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P. Žáková</w:t>
      </w:r>
      <w:r w:rsidRPr="00E8602A">
        <w:rPr>
          <w:rFonts w:ascii="Arial" w:hAnsi="Arial" w:cs="Arial"/>
        </w:rPr>
        <w:t xml:space="preserve"> poděkovala za tento podnět. Doplnila, že pokusů </w:t>
      </w:r>
      <w:r w:rsidR="000F733E">
        <w:rPr>
          <w:rFonts w:ascii="Arial" w:hAnsi="Arial" w:cs="Arial"/>
        </w:rPr>
        <w:t xml:space="preserve">o </w:t>
      </w:r>
      <w:r w:rsidRPr="00E8602A">
        <w:rPr>
          <w:rFonts w:ascii="Arial" w:hAnsi="Arial" w:cs="Arial"/>
        </w:rPr>
        <w:t>posílení analytické činnosti ve státní správě bylo již několik, ale nyní máme výhodu zarámování a financo</w:t>
      </w:r>
      <w:r w:rsidR="000F733E">
        <w:rPr>
          <w:rFonts w:ascii="Arial" w:hAnsi="Arial" w:cs="Arial"/>
        </w:rPr>
        <w:t>vání analytických činností z N</w:t>
      </w:r>
      <w:r w:rsidR="00D8756A">
        <w:rPr>
          <w:rFonts w:ascii="Arial" w:hAnsi="Arial" w:cs="Arial"/>
        </w:rPr>
        <w:t>PO</w:t>
      </w:r>
      <w:r w:rsidRPr="00E8602A">
        <w:rPr>
          <w:rFonts w:ascii="Arial" w:hAnsi="Arial" w:cs="Arial"/>
        </w:rPr>
        <w:t xml:space="preserve">. Přidaná hodnota není jen v poskytnutí zdroje financování, ale také ve formě konkrétních </w:t>
      </w:r>
      <w:r w:rsidRPr="00E8602A">
        <w:rPr>
          <w:rFonts w:ascii="Arial" w:hAnsi="Arial" w:cs="Arial"/>
        </w:rPr>
        <w:lastRenderedPageBreak/>
        <w:t>požadavků na kvalitativní výsledky. Také ocenila dobrou koordinaci analytických aktivit na jednotlivých resortech.</w:t>
      </w:r>
    </w:p>
    <w:p w:rsidR="0080300A" w:rsidRDefault="0080300A" w:rsidP="00510A2E">
      <w:pPr>
        <w:spacing w:before="240" w:after="12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</w:t>
      </w:r>
      <w:r w:rsidRPr="00C01C64">
        <w:rPr>
          <w:rFonts w:ascii="Arial" w:hAnsi="Arial" w:cs="Arial"/>
          <w:b/>
          <w:u w:val="single"/>
        </w:rPr>
        <w:t xml:space="preserve">od programu </w:t>
      </w:r>
      <w:r>
        <w:rPr>
          <w:rFonts w:ascii="Arial" w:hAnsi="Arial" w:cs="Arial"/>
          <w:b/>
          <w:u w:val="single"/>
        </w:rPr>
        <w:t>4</w:t>
      </w:r>
      <w:r w:rsidR="00A6257C">
        <w:rPr>
          <w:rFonts w:ascii="Arial" w:hAnsi="Arial" w:cs="Arial"/>
          <w:b/>
          <w:u w:val="single"/>
        </w:rPr>
        <w:t xml:space="preserve">) </w:t>
      </w:r>
      <w:r w:rsidR="00995C9F" w:rsidRPr="00995C9F">
        <w:rPr>
          <w:rFonts w:ascii="Arial" w:hAnsi="Arial" w:cs="Arial"/>
          <w:b/>
          <w:u w:val="single"/>
        </w:rPr>
        <w:t>Strategický rámec ČR 2030</w:t>
      </w:r>
    </w:p>
    <w:p w:rsidR="00E8602A" w:rsidRPr="00E8602A" w:rsidRDefault="000F733E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P. Žáková</w:t>
      </w:r>
      <w:r>
        <w:rPr>
          <w:rFonts w:ascii="Arial" w:hAnsi="Arial" w:cs="Arial"/>
        </w:rPr>
        <w:t xml:space="preserve"> pře</w:t>
      </w:r>
      <w:r w:rsidR="00E8602A" w:rsidRPr="00E8602A">
        <w:rPr>
          <w:rFonts w:ascii="Arial" w:hAnsi="Arial" w:cs="Arial"/>
        </w:rPr>
        <w:t>dala slovo Lucii Sršňové, vedoucí oddělení udržitelného rozvoje na MŽP.</w:t>
      </w:r>
    </w:p>
    <w:p w:rsidR="005B5A2C" w:rsidRDefault="005B5A2C" w:rsidP="005B5A2C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L. Sršňová</w:t>
      </w:r>
      <w:r>
        <w:rPr>
          <w:rFonts w:ascii="Arial" w:hAnsi="Arial" w:cs="Arial"/>
        </w:rPr>
        <w:t xml:space="preserve"> </w:t>
      </w:r>
      <w:r w:rsidRPr="00590348">
        <w:rPr>
          <w:rFonts w:ascii="Arial" w:hAnsi="Arial" w:cs="Arial"/>
          <w:b/>
        </w:rPr>
        <w:t>(MŽP)</w:t>
      </w:r>
      <w:r w:rsidRPr="00E8602A" w:rsidDel="00A825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přiblížila profil třetího ze základních okruhů činnosti výboru, a sice diskuse socioekonomické složky strategického rámce </w:t>
      </w:r>
      <w:r w:rsidRPr="00E8602A">
        <w:rPr>
          <w:rFonts w:ascii="Arial" w:hAnsi="Arial" w:cs="Arial"/>
        </w:rPr>
        <w:t xml:space="preserve">ČR 2030, kterou bude primárně </w:t>
      </w:r>
      <w:r>
        <w:rPr>
          <w:rFonts w:ascii="Arial" w:hAnsi="Arial" w:cs="Arial"/>
        </w:rPr>
        <w:t>iniciovat</w:t>
      </w:r>
      <w:r w:rsidRPr="00E8602A">
        <w:rPr>
          <w:rFonts w:ascii="Arial" w:hAnsi="Arial" w:cs="Arial"/>
        </w:rPr>
        <w:t xml:space="preserve"> MŽP. </w:t>
      </w:r>
      <w:r>
        <w:rPr>
          <w:rFonts w:ascii="Arial" w:hAnsi="Arial" w:cs="Arial"/>
        </w:rPr>
        <w:t xml:space="preserve">Sestávat bude ze tří témat – diskuse pokroku </w:t>
      </w:r>
      <w:r w:rsidRPr="00E8602A">
        <w:rPr>
          <w:rFonts w:ascii="Arial" w:hAnsi="Arial" w:cs="Arial"/>
        </w:rPr>
        <w:t xml:space="preserve"> v plnění opatření 2. </w:t>
      </w:r>
      <w:r>
        <w:rPr>
          <w:rFonts w:ascii="Arial" w:hAnsi="Arial" w:cs="Arial"/>
        </w:rPr>
        <w:t>I</w:t>
      </w:r>
      <w:r w:rsidRPr="00E8602A">
        <w:rPr>
          <w:rFonts w:ascii="Arial" w:hAnsi="Arial" w:cs="Arial"/>
        </w:rPr>
        <w:t xml:space="preserve">mplementačního plánu ČR 2030 </w:t>
      </w:r>
      <w:r>
        <w:rPr>
          <w:rFonts w:ascii="Arial" w:hAnsi="Arial" w:cs="Arial"/>
        </w:rPr>
        <w:t>z</w:t>
      </w:r>
      <w:r w:rsidRPr="00E8602A">
        <w:rPr>
          <w:rFonts w:ascii="Arial" w:hAnsi="Arial" w:cs="Arial"/>
        </w:rPr>
        <w:t xml:space="preserve"> klíčových oblastí </w:t>
      </w:r>
      <w:r w:rsidRPr="00B164FC">
        <w:rPr>
          <w:rFonts w:ascii="Arial" w:hAnsi="Arial" w:cs="Arial"/>
          <w:i/>
          <w:iCs/>
        </w:rPr>
        <w:t>Lidé a společnost</w:t>
      </w:r>
      <w:r w:rsidRPr="00E8602A">
        <w:rPr>
          <w:rFonts w:ascii="Arial" w:hAnsi="Arial" w:cs="Arial"/>
        </w:rPr>
        <w:t xml:space="preserve"> a </w:t>
      </w:r>
      <w:r w:rsidRPr="00B164FC">
        <w:rPr>
          <w:rFonts w:ascii="Arial" w:hAnsi="Arial" w:cs="Arial"/>
          <w:i/>
          <w:iCs/>
        </w:rPr>
        <w:t>Hospodářský model</w:t>
      </w:r>
      <w:r w:rsidRPr="00E8602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dále diskuse </w:t>
      </w:r>
      <w:r w:rsidRPr="00E8602A">
        <w:rPr>
          <w:rFonts w:ascii="Arial" w:hAnsi="Arial" w:cs="Arial"/>
        </w:rPr>
        <w:t>evaluac</w:t>
      </w:r>
      <w:r>
        <w:rPr>
          <w:rFonts w:ascii="Arial" w:hAnsi="Arial" w:cs="Arial"/>
        </w:rPr>
        <w:t>í</w:t>
      </w:r>
      <w:r w:rsidRPr="00E8602A">
        <w:rPr>
          <w:rFonts w:ascii="Arial" w:hAnsi="Arial" w:cs="Arial"/>
        </w:rPr>
        <w:t xml:space="preserve"> a monitoring</w:t>
      </w:r>
      <w:r>
        <w:rPr>
          <w:rFonts w:ascii="Arial" w:hAnsi="Arial" w:cs="Arial"/>
        </w:rPr>
        <w:t>ů</w:t>
      </w:r>
      <w:r w:rsidRPr="00E8602A">
        <w:rPr>
          <w:rFonts w:ascii="Arial" w:hAnsi="Arial" w:cs="Arial"/>
        </w:rPr>
        <w:t xml:space="preserve"> strategických dokumentů </w:t>
      </w:r>
      <w:r>
        <w:rPr>
          <w:rFonts w:ascii="Arial" w:hAnsi="Arial" w:cs="Arial"/>
        </w:rPr>
        <w:t xml:space="preserve">klíčových k naplnění ČR 2030 </w:t>
      </w:r>
      <w:r w:rsidRPr="00E8602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konečně diskuse </w:t>
      </w:r>
      <w:r w:rsidRPr="00E8602A">
        <w:rPr>
          <w:rFonts w:ascii="Arial" w:hAnsi="Arial" w:cs="Arial"/>
        </w:rPr>
        <w:t>vybran</w:t>
      </w:r>
      <w:r>
        <w:rPr>
          <w:rFonts w:ascii="Arial" w:hAnsi="Arial" w:cs="Arial"/>
        </w:rPr>
        <w:t>ých</w:t>
      </w:r>
      <w:r w:rsidRPr="00E8602A">
        <w:rPr>
          <w:rFonts w:ascii="Arial" w:hAnsi="Arial" w:cs="Arial"/>
        </w:rPr>
        <w:t xml:space="preserve"> aspekt</w:t>
      </w:r>
      <w:r>
        <w:rPr>
          <w:rFonts w:ascii="Arial" w:hAnsi="Arial" w:cs="Arial"/>
        </w:rPr>
        <w:t>ů</w:t>
      </w:r>
      <w:r w:rsidRPr="00E8602A">
        <w:rPr>
          <w:rFonts w:ascii="Arial" w:hAnsi="Arial" w:cs="Arial"/>
        </w:rPr>
        <w:t xml:space="preserve"> projektu Koherence politik pro udržitelný rozvoj, zejména překryv</w:t>
      </w:r>
      <w:r>
        <w:rPr>
          <w:rFonts w:ascii="Arial" w:hAnsi="Arial" w:cs="Arial"/>
        </w:rPr>
        <w:t>ů</w:t>
      </w:r>
      <w:r w:rsidRPr="00E8602A">
        <w:rPr>
          <w:rFonts w:ascii="Arial" w:hAnsi="Arial" w:cs="Arial"/>
        </w:rPr>
        <w:t xml:space="preserve"> mezi strategiemi a</w:t>
      </w:r>
      <w:r>
        <w:rPr>
          <w:rFonts w:ascii="Arial" w:hAnsi="Arial" w:cs="Arial"/>
        </w:rPr>
        <w:t> </w:t>
      </w:r>
      <w:r w:rsidRPr="00E8602A">
        <w:rPr>
          <w:rFonts w:ascii="Arial" w:hAnsi="Arial" w:cs="Arial"/>
        </w:rPr>
        <w:t xml:space="preserve">metodologie analýz nákladů a přínosů. </w:t>
      </w:r>
    </w:p>
    <w:p w:rsidR="005B5A2C" w:rsidRDefault="005B5A2C" w:rsidP="005B5A2C">
      <w:pPr>
        <w:spacing w:before="240" w:after="120" w:line="276" w:lineRule="auto"/>
        <w:jc w:val="both"/>
        <w:rPr>
          <w:rFonts w:ascii="Arial" w:hAnsi="Arial" w:cs="Arial"/>
        </w:rPr>
      </w:pPr>
      <w:r w:rsidRPr="00E8602A">
        <w:rPr>
          <w:rFonts w:ascii="Arial" w:hAnsi="Arial" w:cs="Arial"/>
        </w:rPr>
        <w:t>L. Sršňová</w:t>
      </w:r>
      <w:r>
        <w:rPr>
          <w:rFonts w:ascii="Arial" w:hAnsi="Arial" w:cs="Arial"/>
        </w:rPr>
        <w:t xml:space="preserve"> v souvislosti s prvním a druhým zmíněným tématem připomněla, že z </w:t>
      </w:r>
      <w:r w:rsidRPr="00E8602A">
        <w:rPr>
          <w:rFonts w:ascii="Arial" w:hAnsi="Arial" w:cs="Arial"/>
        </w:rPr>
        <w:t xml:space="preserve">loňské evaluace </w:t>
      </w:r>
      <w:r>
        <w:rPr>
          <w:rFonts w:ascii="Arial" w:hAnsi="Arial" w:cs="Arial"/>
        </w:rPr>
        <w:t xml:space="preserve">ČR 2030 </w:t>
      </w:r>
      <w:r w:rsidRPr="00E8602A">
        <w:rPr>
          <w:rFonts w:ascii="Arial" w:hAnsi="Arial" w:cs="Arial"/>
        </w:rPr>
        <w:t>vzešla Zpráva o kvalitě života</w:t>
      </w:r>
      <w:r>
        <w:rPr>
          <w:rFonts w:ascii="Arial" w:hAnsi="Arial" w:cs="Arial"/>
        </w:rPr>
        <w:t xml:space="preserve">, která byla vládou schválena v únoru 2024: </w:t>
      </w:r>
      <w:hyperlink r:id="rId9" w:history="1">
        <w:r w:rsidRPr="00324154">
          <w:rPr>
            <w:rStyle w:val="Hypertextovodkaz"/>
            <w:rFonts w:ascii="Arial" w:hAnsi="Arial" w:cs="Arial"/>
          </w:rPr>
          <w:t>https://www.mzp.cz/cz/news_20240319_Vysla-druha-Zprava-o-kvalite-zivota-a-jeji-udrzitelnosti</w:t>
        </w:r>
      </w:hyperlink>
      <w:r>
        <w:rPr>
          <w:rStyle w:val="Hypertextovodkaz"/>
          <w:rFonts w:ascii="Arial" w:hAnsi="Arial" w:cs="Arial"/>
        </w:rPr>
        <w:t xml:space="preserve"> </w:t>
      </w:r>
      <w:r w:rsidRPr="004871FB">
        <w:rPr>
          <w:rFonts w:ascii="Arial" w:hAnsi="Arial" w:cs="Arial"/>
        </w:rPr>
        <w:t>Obsahem zprávy je nejen posouzení pokroku v dosahování cílů ČR 2030, ale také přehled pokroku v plnění opatření</w:t>
      </w:r>
      <w:r w:rsidRPr="004871FB">
        <w:t xml:space="preserve"> </w:t>
      </w:r>
      <w:r w:rsidRPr="00E8602A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I</w:t>
      </w:r>
      <w:r w:rsidRPr="00E8602A">
        <w:rPr>
          <w:rFonts w:ascii="Arial" w:hAnsi="Arial" w:cs="Arial"/>
        </w:rPr>
        <w:t>mplementačního plánu ČR 2030</w:t>
      </w:r>
      <w:r>
        <w:rPr>
          <w:rFonts w:ascii="Arial" w:hAnsi="Arial" w:cs="Arial"/>
        </w:rPr>
        <w:t>.</w:t>
      </w:r>
    </w:p>
    <w:p w:rsidR="005B5A2C" w:rsidRDefault="005B5A2C" w:rsidP="005B5A2C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návaznosti na to by </w:t>
      </w:r>
      <w:r w:rsidRPr="00E8602A">
        <w:rPr>
          <w:rFonts w:ascii="Arial" w:hAnsi="Arial" w:cs="Arial"/>
        </w:rPr>
        <w:t>MŽP u některých opatření chtělo vést diskusi o jejich pokroku, bariérách v jejich naplnění apod.</w:t>
      </w:r>
      <w:r>
        <w:rPr>
          <w:rFonts w:ascii="Arial" w:hAnsi="Arial" w:cs="Arial"/>
        </w:rPr>
        <w:t xml:space="preserve"> L. Sršňová shrnula ta, která jsou relevantní tomuto výboru (v závorce uvedeno ministerstvo, které má nad opatřením vrchní gesci) a požádala o jejich první diskusi na podzimním jednání výboru: </w:t>
      </w:r>
    </w:p>
    <w:p w:rsidR="005B5A2C" w:rsidRDefault="005B5A2C" w:rsidP="005B5A2C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2.4.a (jak</w:t>
      </w:r>
      <w:proofErr w:type="gramEnd"/>
      <w:r>
        <w:rPr>
          <w:rFonts w:ascii="Arial" w:hAnsi="Arial" w:cs="Arial"/>
        </w:rPr>
        <w:t xml:space="preserve"> v praxi identifikovat </w:t>
      </w:r>
      <w:proofErr w:type="spellStart"/>
      <w:r>
        <w:rPr>
          <w:rFonts w:ascii="Arial" w:hAnsi="Arial" w:cs="Arial"/>
        </w:rPr>
        <w:t>prekarizaci</w:t>
      </w:r>
      <w:proofErr w:type="spellEnd"/>
      <w:r>
        <w:rPr>
          <w:rFonts w:ascii="Arial" w:hAnsi="Arial" w:cs="Arial"/>
        </w:rPr>
        <w:t xml:space="preserve"> práce; MPSV)</w:t>
      </w:r>
    </w:p>
    <w:p w:rsidR="005B5A2C" w:rsidRDefault="005B5A2C" w:rsidP="005B5A2C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7.1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>-c (</w:t>
      </w:r>
      <w:r w:rsidRPr="00E8602A">
        <w:rPr>
          <w:rFonts w:ascii="Arial" w:hAnsi="Arial" w:cs="Arial"/>
        </w:rPr>
        <w:t>scénář</w:t>
      </w:r>
      <w:r>
        <w:rPr>
          <w:rFonts w:ascii="Arial" w:hAnsi="Arial" w:cs="Arial"/>
        </w:rPr>
        <w:t>e</w:t>
      </w:r>
      <w:r w:rsidRPr="00E8602A">
        <w:rPr>
          <w:rFonts w:ascii="Arial" w:hAnsi="Arial" w:cs="Arial"/>
        </w:rPr>
        <w:t xml:space="preserve"> vývoje ekonomické transformace</w:t>
      </w:r>
      <w:r>
        <w:rPr>
          <w:rFonts w:ascii="Arial" w:hAnsi="Arial" w:cs="Arial"/>
        </w:rPr>
        <w:t xml:space="preserve">, </w:t>
      </w:r>
      <w:r w:rsidRPr="00E8602A">
        <w:rPr>
          <w:rFonts w:ascii="Arial" w:hAnsi="Arial" w:cs="Arial"/>
        </w:rPr>
        <w:t>evaluac</w:t>
      </w:r>
      <w:r>
        <w:rPr>
          <w:rFonts w:ascii="Arial" w:hAnsi="Arial" w:cs="Arial"/>
        </w:rPr>
        <w:t>e</w:t>
      </w:r>
      <w:r w:rsidRPr="00E8602A">
        <w:rPr>
          <w:rFonts w:ascii="Arial" w:hAnsi="Arial" w:cs="Arial"/>
        </w:rPr>
        <w:t xml:space="preserve"> funkčnosti dosavadních nástrojů podpory podnikání</w:t>
      </w:r>
      <w:r>
        <w:rPr>
          <w:rFonts w:ascii="Arial" w:hAnsi="Arial" w:cs="Arial"/>
        </w:rPr>
        <w:t>,</w:t>
      </w:r>
      <w:r w:rsidRPr="00E8602A">
        <w:rPr>
          <w:rFonts w:ascii="Arial" w:hAnsi="Arial" w:cs="Arial"/>
        </w:rPr>
        <w:t xml:space="preserve"> přípravě hospodářské strategie</w:t>
      </w:r>
      <w:r>
        <w:rPr>
          <w:rFonts w:ascii="Arial" w:hAnsi="Arial" w:cs="Arial"/>
        </w:rPr>
        <w:t>; vše lze uchopit dohromady v kontextu přípravy Hospodářské strategie; MPO)</w:t>
      </w:r>
    </w:p>
    <w:p w:rsidR="005B5A2C" w:rsidRDefault="005B5A2C" w:rsidP="005B5A2C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E8602A">
        <w:rPr>
          <w:rFonts w:ascii="Arial" w:hAnsi="Arial" w:cs="Arial"/>
        </w:rPr>
        <w:t xml:space="preserve">7.1.d </w:t>
      </w:r>
      <w:r>
        <w:rPr>
          <w:rFonts w:ascii="Arial" w:hAnsi="Arial" w:cs="Arial"/>
        </w:rPr>
        <w:t>(</w:t>
      </w:r>
      <w:r w:rsidRPr="00E8602A">
        <w:rPr>
          <w:rFonts w:ascii="Arial" w:hAnsi="Arial" w:cs="Arial"/>
        </w:rPr>
        <w:t>behaviorální</w:t>
      </w:r>
      <w:proofErr w:type="gramEnd"/>
      <w:r w:rsidRPr="00E8602A">
        <w:rPr>
          <w:rFonts w:ascii="Arial" w:hAnsi="Arial" w:cs="Arial"/>
        </w:rPr>
        <w:t xml:space="preserve"> experiment ke snížení administrativní zátěže podnikatelů</w:t>
      </w:r>
      <w:r>
        <w:rPr>
          <w:rFonts w:ascii="Arial" w:hAnsi="Arial" w:cs="Arial"/>
        </w:rPr>
        <w:t>; MPO)</w:t>
      </w:r>
    </w:p>
    <w:p w:rsidR="005B5A2C" w:rsidRDefault="005B5A2C" w:rsidP="005B5A2C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E8602A">
        <w:rPr>
          <w:rFonts w:ascii="Arial" w:hAnsi="Arial" w:cs="Arial"/>
        </w:rPr>
        <w:t xml:space="preserve">7.4.b </w:t>
      </w:r>
      <w:r>
        <w:rPr>
          <w:rFonts w:ascii="Arial" w:hAnsi="Arial" w:cs="Arial"/>
        </w:rPr>
        <w:t>(reálné</w:t>
      </w:r>
      <w:proofErr w:type="gramEnd"/>
      <w:r>
        <w:rPr>
          <w:rFonts w:ascii="Arial" w:hAnsi="Arial" w:cs="Arial"/>
        </w:rPr>
        <w:t xml:space="preserve"> fungování s</w:t>
      </w:r>
      <w:r w:rsidRPr="00E8602A">
        <w:rPr>
          <w:rFonts w:ascii="Arial" w:hAnsi="Arial" w:cs="Arial"/>
        </w:rPr>
        <w:t>ystém</w:t>
      </w:r>
      <w:r>
        <w:rPr>
          <w:rFonts w:ascii="Arial" w:hAnsi="Arial" w:cs="Arial"/>
        </w:rPr>
        <w:t>u</w:t>
      </w:r>
      <w:r w:rsidRPr="00E8602A">
        <w:rPr>
          <w:rFonts w:ascii="Arial" w:hAnsi="Arial" w:cs="Arial"/>
        </w:rPr>
        <w:t xml:space="preserve"> na prověřování přímých zahraničních investic z bezpečnostních důvodů</w:t>
      </w:r>
      <w:r>
        <w:rPr>
          <w:rFonts w:ascii="Arial" w:hAnsi="Arial" w:cs="Arial"/>
        </w:rPr>
        <w:t>; MPO)</w:t>
      </w:r>
    </w:p>
    <w:p w:rsidR="005B5A2C" w:rsidRDefault="005B5A2C" w:rsidP="005B5A2C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8602A">
        <w:rPr>
          <w:rFonts w:ascii="Arial" w:hAnsi="Arial" w:cs="Arial"/>
        </w:rPr>
        <w:t xml:space="preserve"> </w:t>
      </w:r>
      <w:proofErr w:type="gramStart"/>
      <w:r w:rsidRPr="00E8602A">
        <w:rPr>
          <w:rFonts w:ascii="Arial" w:hAnsi="Arial" w:cs="Arial"/>
        </w:rPr>
        <w:t xml:space="preserve">9.1.a </w:t>
      </w:r>
      <w:r>
        <w:rPr>
          <w:rFonts w:ascii="Arial" w:hAnsi="Arial" w:cs="Arial"/>
        </w:rPr>
        <w:t>(</w:t>
      </w:r>
      <w:r w:rsidRPr="00E8602A">
        <w:rPr>
          <w:rFonts w:ascii="Arial" w:hAnsi="Arial" w:cs="Arial"/>
        </w:rPr>
        <w:t>implementac</w:t>
      </w:r>
      <w:r>
        <w:rPr>
          <w:rFonts w:ascii="Arial" w:hAnsi="Arial" w:cs="Arial"/>
        </w:rPr>
        <w:t>e</w:t>
      </w:r>
      <w:proofErr w:type="gramEnd"/>
      <w:r w:rsidRPr="00E8602A">
        <w:rPr>
          <w:rFonts w:ascii="Arial" w:hAnsi="Arial" w:cs="Arial"/>
        </w:rPr>
        <w:t xml:space="preserve"> DNSH</w:t>
      </w:r>
      <w:r>
        <w:rPr>
          <w:rFonts w:ascii="Arial" w:hAnsi="Arial" w:cs="Arial"/>
        </w:rPr>
        <w:t>; MŽP)</w:t>
      </w:r>
    </w:p>
    <w:p w:rsidR="005B5A2C" w:rsidRDefault="005B5A2C" w:rsidP="005B5A2C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E8602A">
        <w:rPr>
          <w:rFonts w:ascii="Arial" w:hAnsi="Arial" w:cs="Arial"/>
        </w:rPr>
        <w:t xml:space="preserve">11.2.a </w:t>
      </w:r>
      <w:r>
        <w:rPr>
          <w:rFonts w:ascii="Arial" w:hAnsi="Arial" w:cs="Arial"/>
        </w:rPr>
        <w:t>(</w:t>
      </w:r>
      <w:r w:rsidRPr="00E8602A">
        <w:rPr>
          <w:rFonts w:ascii="Arial" w:hAnsi="Arial" w:cs="Arial"/>
        </w:rPr>
        <w:t>implementac</w:t>
      </w:r>
      <w:r>
        <w:rPr>
          <w:rFonts w:ascii="Arial" w:hAnsi="Arial" w:cs="Arial"/>
        </w:rPr>
        <w:t>e</w:t>
      </w:r>
      <w:proofErr w:type="gramEnd"/>
      <w:r w:rsidRPr="00E8602A">
        <w:rPr>
          <w:rFonts w:ascii="Arial" w:hAnsi="Arial" w:cs="Arial"/>
        </w:rPr>
        <w:t xml:space="preserve"> nástrojů reportingu environmentálně škodlivých a fosilních dotací</w:t>
      </w:r>
      <w:r>
        <w:rPr>
          <w:rFonts w:ascii="Arial" w:hAnsi="Arial" w:cs="Arial"/>
        </w:rPr>
        <w:t>; MŽP)</w:t>
      </w:r>
    </w:p>
    <w:p w:rsidR="005B5A2C" w:rsidRPr="00E8602A" w:rsidRDefault="005B5A2C" w:rsidP="005B5A2C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Spolu se zápisem z </w:t>
      </w:r>
      <w:proofErr w:type="gramStart"/>
      <w:r>
        <w:rPr>
          <w:rFonts w:ascii="Arial" w:hAnsi="Arial" w:cs="Arial"/>
        </w:rPr>
        <w:t>dnešní</w:t>
      </w:r>
      <w:proofErr w:type="gramEnd"/>
      <w:r>
        <w:rPr>
          <w:rFonts w:ascii="Arial" w:hAnsi="Arial" w:cs="Arial"/>
        </w:rPr>
        <w:t xml:space="preserve"> jednání budou zaslány i karty zmíněných opatření.</w:t>
      </w:r>
    </w:p>
    <w:p w:rsidR="00E8602A" w:rsidRPr="00E8602A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J. Nekovář</w:t>
      </w:r>
      <w:r w:rsidRPr="00E8602A">
        <w:rPr>
          <w:rFonts w:ascii="Arial" w:hAnsi="Arial" w:cs="Arial"/>
        </w:rPr>
        <w:t xml:space="preserve"> se dot</w:t>
      </w:r>
      <w:r w:rsidR="00D65865">
        <w:rPr>
          <w:rFonts w:ascii="Arial" w:hAnsi="Arial" w:cs="Arial"/>
        </w:rPr>
        <w:t>ázal</w:t>
      </w:r>
      <w:r w:rsidRPr="00E8602A">
        <w:rPr>
          <w:rFonts w:ascii="Arial" w:hAnsi="Arial" w:cs="Arial"/>
        </w:rPr>
        <w:t xml:space="preserve"> na význam zkratky DNSH.</w:t>
      </w:r>
    </w:p>
    <w:p w:rsidR="00E8602A" w:rsidRPr="00E8602A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P. Žáková</w:t>
      </w:r>
      <w:r w:rsidRPr="00E8602A">
        <w:rPr>
          <w:rFonts w:ascii="Arial" w:hAnsi="Arial" w:cs="Arial"/>
        </w:rPr>
        <w:t xml:space="preserve"> vysvětlila, že se jedná o princip významně nepoškozovat životní prostředí (Do no </w:t>
      </w:r>
      <w:proofErr w:type="spellStart"/>
      <w:r w:rsidRPr="00E8602A">
        <w:rPr>
          <w:rFonts w:ascii="Arial" w:hAnsi="Arial" w:cs="Arial"/>
        </w:rPr>
        <w:t>significant</w:t>
      </w:r>
      <w:proofErr w:type="spellEnd"/>
      <w:r w:rsidRPr="00E8602A">
        <w:rPr>
          <w:rFonts w:ascii="Arial" w:hAnsi="Arial" w:cs="Arial"/>
        </w:rPr>
        <w:t xml:space="preserve"> </w:t>
      </w:r>
      <w:proofErr w:type="spellStart"/>
      <w:r w:rsidRPr="00E8602A">
        <w:rPr>
          <w:rFonts w:ascii="Arial" w:hAnsi="Arial" w:cs="Arial"/>
        </w:rPr>
        <w:t>harm</w:t>
      </w:r>
      <w:proofErr w:type="spellEnd"/>
      <w:r w:rsidRPr="00E8602A">
        <w:rPr>
          <w:rFonts w:ascii="Arial" w:hAnsi="Arial" w:cs="Arial"/>
        </w:rPr>
        <w:t xml:space="preserve">). Je to princip, který zavedla EU s cílem, aby nové investice nepoškozovaly životní prostředí, zahrnuje to například dodržování energetické účinnosti nových budov, recyklaci </w:t>
      </w:r>
      <w:r w:rsidR="000F733E">
        <w:rPr>
          <w:rFonts w:ascii="Arial" w:hAnsi="Arial" w:cs="Arial"/>
        </w:rPr>
        <w:t xml:space="preserve">stavebního materiálu v případě </w:t>
      </w:r>
      <w:r w:rsidRPr="00E8602A">
        <w:rPr>
          <w:rFonts w:ascii="Arial" w:hAnsi="Arial" w:cs="Arial"/>
        </w:rPr>
        <w:t>bourání nevyhovujících budov atd.</w:t>
      </w:r>
    </w:p>
    <w:p w:rsidR="00E8602A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lastRenderedPageBreak/>
        <w:t>M. Maděra</w:t>
      </w:r>
      <w:r w:rsidR="00590348">
        <w:rPr>
          <w:rFonts w:ascii="Arial" w:hAnsi="Arial" w:cs="Arial"/>
        </w:rPr>
        <w:t xml:space="preserve"> </w:t>
      </w:r>
      <w:r w:rsidR="00590348" w:rsidRPr="00590348">
        <w:rPr>
          <w:rFonts w:ascii="Arial" w:hAnsi="Arial" w:cs="Arial"/>
          <w:b/>
        </w:rPr>
        <w:t>(ÚV)</w:t>
      </w:r>
      <w:r w:rsidRPr="00E8602A">
        <w:rPr>
          <w:rFonts w:ascii="Arial" w:hAnsi="Arial" w:cs="Arial"/>
        </w:rPr>
        <w:t xml:space="preserve"> doplnil, že je to horizontální podmínka v rámci Nástroje pro oživení a odolnost (</w:t>
      </w:r>
      <w:proofErr w:type="spellStart"/>
      <w:r w:rsidRPr="00E8602A">
        <w:rPr>
          <w:rFonts w:ascii="Arial" w:hAnsi="Arial" w:cs="Arial"/>
        </w:rPr>
        <w:t>Recov</w:t>
      </w:r>
      <w:r w:rsidR="000F733E">
        <w:rPr>
          <w:rFonts w:ascii="Arial" w:hAnsi="Arial" w:cs="Arial"/>
        </w:rPr>
        <w:t>ery</w:t>
      </w:r>
      <w:proofErr w:type="spellEnd"/>
      <w:r w:rsidR="000F733E">
        <w:rPr>
          <w:rFonts w:ascii="Arial" w:hAnsi="Arial" w:cs="Arial"/>
        </w:rPr>
        <w:t xml:space="preserve"> and </w:t>
      </w:r>
      <w:proofErr w:type="spellStart"/>
      <w:r w:rsidR="000F733E">
        <w:rPr>
          <w:rFonts w:ascii="Arial" w:hAnsi="Arial" w:cs="Arial"/>
        </w:rPr>
        <w:t>Resilience</w:t>
      </w:r>
      <w:proofErr w:type="spellEnd"/>
      <w:r w:rsidR="000F733E">
        <w:rPr>
          <w:rFonts w:ascii="Arial" w:hAnsi="Arial" w:cs="Arial"/>
        </w:rPr>
        <w:t xml:space="preserve"> </w:t>
      </w:r>
      <w:proofErr w:type="spellStart"/>
      <w:r w:rsidR="000F733E">
        <w:rPr>
          <w:rFonts w:ascii="Arial" w:hAnsi="Arial" w:cs="Arial"/>
        </w:rPr>
        <w:t>Facility</w:t>
      </w:r>
      <w:proofErr w:type="spellEnd"/>
      <w:r w:rsidRPr="00E8602A">
        <w:rPr>
          <w:rFonts w:ascii="Arial" w:hAnsi="Arial" w:cs="Arial"/>
        </w:rPr>
        <w:t>)</w:t>
      </w:r>
      <w:r w:rsidR="00D65865">
        <w:rPr>
          <w:rFonts w:ascii="Arial" w:hAnsi="Arial" w:cs="Arial"/>
        </w:rPr>
        <w:t>.</w:t>
      </w:r>
      <w:r w:rsidRPr="00E8602A">
        <w:rPr>
          <w:rFonts w:ascii="Arial" w:hAnsi="Arial" w:cs="Arial"/>
        </w:rPr>
        <w:t xml:space="preserve"> </w:t>
      </w:r>
      <w:r w:rsidR="00D65865">
        <w:rPr>
          <w:rFonts w:ascii="Arial" w:hAnsi="Arial" w:cs="Arial"/>
        </w:rPr>
        <w:t>V</w:t>
      </w:r>
      <w:r w:rsidRPr="00E8602A">
        <w:rPr>
          <w:rFonts w:ascii="Arial" w:hAnsi="Arial" w:cs="Arial"/>
        </w:rPr>
        <w:t xml:space="preserve"> novém </w:t>
      </w:r>
      <w:r w:rsidR="000F733E">
        <w:rPr>
          <w:rFonts w:ascii="Arial" w:hAnsi="Arial" w:cs="Arial"/>
        </w:rPr>
        <w:t xml:space="preserve">Víceletém finančním rámci </w:t>
      </w:r>
      <w:r w:rsidRPr="00E8602A">
        <w:rPr>
          <w:rFonts w:ascii="Arial" w:hAnsi="Arial" w:cs="Arial"/>
        </w:rPr>
        <w:t>by tato podmínka měla být aplikována napříč strukturálními a investičními fo</w:t>
      </w:r>
      <w:r w:rsidR="000F733E">
        <w:rPr>
          <w:rFonts w:ascii="Arial" w:hAnsi="Arial" w:cs="Arial"/>
        </w:rPr>
        <w:t>n</w:t>
      </w:r>
      <w:r w:rsidRPr="00E8602A">
        <w:rPr>
          <w:rFonts w:ascii="Arial" w:hAnsi="Arial" w:cs="Arial"/>
        </w:rPr>
        <w:t>dy EU. Vychází to ze Zelené dohody pro Evropu. ÚV společně s MŽP připravilo TSI projekt na návrh nové DNSH metodiky. MŽP k tomu vypracovalo rámcová vodítka.</w:t>
      </w:r>
      <w:r w:rsidR="00CC76D9">
        <w:rPr>
          <w:rFonts w:ascii="Arial" w:hAnsi="Arial" w:cs="Arial"/>
        </w:rPr>
        <w:t xml:space="preserve"> Bližší informace:</w:t>
      </w:r>
    </w:p>
    <w:p w:rsidR="00CC76D9" w:rsidRPr="002D7CB8" w:rsidRDefault="008C5757" w:rsidP="00CC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u w:val="single"/>
          <w:lang w:eastAsia="en-US"/>
        </w:rPr>
      </w:pPr>
      <w:hyperlink r:id="rId10" w:history="1">
        <w:r w:rsidR="00CC76D9" w:rsidRPr="002D7CB8">
          <w:rPr>
            <w:rFonts w:ascii="Arial" w:eastAsiaTheme="minorHAnsi" w:hAnsi="Arial" w:cs="Arial"/>
            <w:color w:val="0000FF"/>
            <w:u w:val="single"/>
            <w:lang w:eastAsia="en-US"/>
          </w:rPr>
          <w:t>https://vlada.gov.cz/cz/urad-vlady/fondy-eu/aktivni_projekty/plne-financovany-projekt-ek-metodologie-pro-aplikaci-zasady-_vyznamne-neposkozovat_-na-narodni-urovni-ve-fondech-a-programech-eu-195984/</w:t>
        </w:r>
      </w:hyperlink>
    </w:p>
    <w:p w:rsidR="00CC76D9" w:rsidRPr="002D7CB8" w:rsidRDefault="00CC76D9" w:rsidP="00CC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u w:val="single"/>
          <w:lang w:eastAsia="en-US"/>
        </w:rPr>
      </w:pPr>
    </w:p>
    <w:p w:rsidR="00CC76D9" w:rsidRPr="002D7CB8" w:rsidRDefault="008C5757" w:rsidP="00CC76D9">
      <w:pPr>
        <w:spacing w:line="288" w:lineRule="auto"/>
        <w:jc w:val="both"/>
        <w:rPr>
          <w:rFonts w:ascii="Arial" w:eastAsiaTheme="minorHAnsi" w:hAnsi="Arial" w:cs="Arial"/>
          <w:u w:val="single"/>
          <w:lang w:eastAsia="en-US"/>
        </w:rPr>
      </w:pPr>
      <w:hyperlink r:id="rId11" w:history="1">
        <w:r w:rsidR="00CC76D9" w:rsidRPr="002D7CB8">
          <w:rPr>
            <w:rFonts w:ascii="Arial" w:eastAsiaTheme="minorHAnsi" w:hAnsi="Arial" w:cs="Arial"/>
            <w:color w:val="0000FF"/>
            <w:u w:val="single"/>
            <w:lang w:eastAsia="en-US"/>
          </w:rPr>
          <w:t>https://www.vlada.cz/cz/evropske-zalezitosti/aktualne/probehly-seminare-k-uplatnovani-zasady-dnsh-v-investicich-podporovanych-z-fondu-eu-212873/</w:t>
        </w:r>
      </w:hyperlink>
    </w:p>
    <w:p w:rsidR="00E8602A" w:rsidRPr="00E8602A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J. Nekovář</w:t>
      </w:r>
      <w:r w:rsidRPr="00E8602A">
        <w:rPr>
          <w:rFonts w:ascii="Arial" w:hAnsi="Arial" w:cs="Arial"/>
        </w:rPr>
        <w:t xml:space="preserve"> </w:t>
      </w:r>
      <w:r w:rsidR="0075682F">
        <w:rPr>
          <w:rFonts w:ascii="Arial" w:hAnsi="Arial" w:cs="Arial"/>
        </w:rPr>
        <w:t>položil</w:t>
      </w:r>
      <w:r w:rsidR="00D65865">
        <w:rPr>
          <w:rFonts w:ascii="Arial" w:hAnsi="Arial" w:cs="Arial"/>
        </w:rPr>
        <w:t xml:space="preserve"> </w:t>
      </w:r>
      <w:r w:rsidRPr="00E8602A">
        <w:rPr>
          <w:rFonts w:ascii="Arial" w:hAnsi="Arial" w:cs="Arial"/>
        </w:rPr>
        <w:t xml:space="preserve">doplňující otázku, </w:t>
      </w:r>
      <w:r w:rsidR="0075682F">
        <w:rPr>
          <w:rFonts w:ascii="Arial" w:hAnsi="Arial" w:cs="Arial"/>
        </w:rPr>
        <w:t xml:space="preserve">a to </w:t>
      </w:r>
      <w:r w:rsidR="00D65865">
        <w:rPr>
          <w:rFonts w:ascii="Arial" w:hAnsi="Arial" w:cs="Arial"/>
        </w:rPr>
        <w:t>jak se princip</w:t>
      </w:r>
      <w:r w:rsidRPr="00E8602A">
        <w:rPr>
          <w:rFonts w:ascii="Arial" w:hAnsi="Arial" w:cs="Arial"/>
        </w:rPr>
        <w:t xml:space="preserve"> DNSH </w:t>
      </w:r>
      <w:r w:rsidR="00D65865">
        <w:rPr>
          <w:rFonts w:ascii="Arial" w:hAnsi="Arial" w:cs="Arial"/>
        </w:rPr>
        <w:t>překrývá s</w:t>
      </w:r>
      <w:r w:rsidRPr="00E8602A">
        <w:rPr>
          <w:rFonts w:ascii="Arial" w:hAnsi="Arial" w:cs="Arial"/>
        </w:rPr>
        <w:t xml:space="preserve"> ESG (</w:t>
      </w:r>
      <w:proofErr w:type="spellStart"/>
      <w:r w:rsidRPr="00E8602A">
        <w:rPr>
          <w:rFonts w:ascii="Arial" w:hAnsi="Arial" w:cs="Arial"/>
        </w:rPr>
        <w:t>environmental</w:t>
      </w:r>
      <w:proofErr w:type="spellEnd"/>
      <w:r w:rsidRPr="00E8602A">
        <w:rPr>
          <w:rFonts w:ascii="Arial" w:hAnsi="Arial" w:cs="Arial"/>
        </w:rPr>
        <w:t xml:space="preserve">, </w:t>
      </w:r>
      <w:proofErr w:type="spellStart"/>
      <w:r w:rsidRPr="00E8602A">
        <w:rPr>
          <w:rFonts w:ascii="Arial" w:hAnsi="Arial" w:cs="Arial"/>
        </w:rPr>
        <w:t>social</w:t>
      </w:r>
      <w:proofErr w:type="spellEnd"/>
      <w:r w:rsidRPr="00E8602A">
        <w:rPr>
          <w:rFonts w:ascii="Arial" w:hAnsi="Arial" w:cs="Arial"/>
        </w:rPr>
        <w:t xml:space="preserve">, </w:t>
      </w:r>
      <w:proofErr w:type="spellStart"/>
      <w:r w:rsidRPr="00E8602A">
        <w:rPr>
          <w:rFonts w:ascii="Arial" w:hAnsi="Arial" w:cs="Arial"/>
        </w:rPr>
        <w:t>governance</w:t>
      </w:r>
      <w:proofErr w:type="spellEnd"/>
      <w:r w:rsidRPr="00E8602A">
        <w:rPr>
          <w:rFonts w:ascii="Arial" w:hAnsi="Arial" w:cs="Arial"/>
        </w:rPr>
        <w:t>)</w:t>
      </w:r>
      <w:r w:rsidR="0075682F">
        <w:rPr>
          <w:rFonts w:ascii="Arial" w:hAnsi="Arial" w:cs="Arial"/>
        </w:rPr>
        <w:t xml:space="preserve"> a u jakých projektů se uplatňuje</w:t>
      </w:r>
      <w:r w:rsidRPr="00E8602A">
        <w:rPr>
          <w:rFonts w:ascii="Arial" w:hAnsi="Arial" w:cs="Arial"/>
        </w:rPr>
        <w:t>.</w:t>
      </w:r>
      <w:r w:rsidR="0075682F">
        <w:rPr>
          <w:rFonts w:ascii="Arial" w:hAnsi="Arial" w:cs="Arial"/>
        </w:rPr>
        <w:t xml:space="preserve"> </w:t>
      </w:r>
    </w:p>
    <w:p w:rsidR="00E8602A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M. Maděra</w:t>
      </w:r>
      <w:r w:rsidRPr="00E8602A">
        <w:rPr>
          <w:rFonts w:ascii="Arial" w:hAnsi="Arial" w:cs="Arial"/>
        </w:rPr>
        <w:t xml:space="preserve"> informoval, že mezi DNSH principem a ESG vazba existuje. DNSH vychází z</w:t>
      </w:r>
      <w:r w:rsidR="00D65865">
        <w:rPr>
          <w:rFonts w:ascii="Arial" w:hAnsi="Arial" w:cs="Arial"/>
        </w:rPr>
        <w:t xml:space="preserve"> EU </w:t>
      </w:r>
      <w:r w:rsidRPr="00E8602A">
        <w:rPr>
          <w:rFonts w:ascii="Arial" w:hAnsi="Arial" w:cs="Arial"/>
        </w:rPr>
        <w:t>taxonomie, kritéria jsou určena tak, aby žádná inv</w:t>
      </w:r>
      <w:r>
        <w:rPr>
          <w:rFonts w:ascii="Arial" w:hAnsi="Arial" w:cs="Arial"/>
        </w:rPr>
        <w:t xml:space="preserve">estice nepoškozovala některý z </w:t>
      </w:r>
      <w:r w:rsidRPr="00E8602A">
        <w:rPr>
          <w:rFonts w:ascii="Arial" w:hAnsi="Arial" w:cs="Arial"/>
        </w:rPr>
        <w:t>6 cílů taxonomie.</w:t>
      </w:r>
      <w:r w:rsidR="0075682F">
        <w:rPr>
          <w:rFonts w:ascii="Arial" w:hAnsi="Arial" w:cs="Arial"/>
        </w:rPr>
        <w:t xml:space="preserve"> Doplnil, že princip DNSH se </w:t>
      </w:r>
      <w:r w:rsidRPr="00E8602A">
        <w:rPr>
          <w:rFonts w:ascii="Arial" w:hAnsi="Arial" w:cs="Arial"/>
        </w:rPr>
        <w:t>momentálně</w:t>
      </w:r>
      <w:r w:rsidR="00AB71B4">
        <w:rPr>
          <w:rFonts w:ascii="Arial" w:hAnsi="Arial" w:cs="Arial"/>
        </w:rPr>
        <w:t xml:space="preserve"> </w:t>
      </w:r>
      <w:r w:rsidRPr="00E8602A">
        <w:rPr>
          <w:rFonts w:ascii="Arial" w:hAnsi="Arial" w:cs="Arial"/>
        </w:rPr>
        <w:t>týká jen dotací z</w:t>
      </w:r>
      <w:r w:rsidR="00D65865">
        <w:rPr>
          <w:rFonts w:ascii="Arial" w:hAnsi="Arial" w:cs="Arial"/>
        </w:rPr>
        <w:t xml:space="preserve"> fondů </w:t>
      </w:r>
      <w:r w:rsidRPr="00E8602A">
        <w:rPr>
          <w:rFonts w:ascii="Arial" w:hAnsi="Arial" w:cs="Arial"/>
        </w:rPr>
        <w:t>EU.</w:t>
      </w:r>
    </w:p>
    <w:p w:rsidR="00C23145" w:rsidRDefault="00C23145" w:rsidP="00C23145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L. Sršňová</w:t>
      </w:r>
      <w:r w:rsidRPr="00E8602A">
        <w:rPr>
          <w:rFonts w:ascii="Arial" w:hAnsi="Arial" w:cs="Arial"/>
        </w:rPr>
        <w:t xml:space="preserve"> pokračovala s informacemi o potřebě diskuze o evaluaci těch strategií, které jsou klíčové pro naplnění cílů ČR 2030</w:t>
      </w:r>
      <w:r>
        <w:rPr>
          <w:rFonts w:ascii="Arial" w:hAnsi="Arial" w:cs="Arial"/>
        </w:rPr>
        <w:t xml:space="preserve"> a k jejichž evaluaci či monitoringu by mělo dojít </w:t>
      </w:r>
      <w:r w:rsidRPr="00E8602A">
        <w:rPr>
          <w:rFonts w:ascii="Arial" w:hAnsi="Arial" w:cs="Arial"/>
        </w:rPr>
        <w:t xml:space="preserve">v letech 2024-2025. Od výboru se očekává, že prodiskutuje dopady, které má hodnocení na dosažení ČR 2030 a pro relevantní </w:t>
      </w:r>
      <w:proofErr w:type="spellStart"/>
      <w:r w:rsidRPr="00E8602A">
        <w:rPr>
          <w:rFonts w:ascii="Arial" w:hAnsi="Arial" w:cs="Arial"/>
        </w:rPr>
        <w:t>SDGs</w:t>
      </w:r>
      <w:proofErr w:type="spellEnd"/>
      <w:r w:rsidRPr="00E8602A">
        <w:rPr>
          <w:rFonts w:ascii="Arial" w:hAnsi="Arial" w:cs="Arial"/>
        </w:rPr>
        <w:t>. Mělo by se to týkat Strategie sociálního začleňování</w:t>
      </w:r>
      <w:r>
        <w:rPr>
          <w:rFonts w:ascii="Arial" w:hAnsi="Arial" w:cs="Arial"/>
        </w:rPr>
        <w:t xml:space="preserve"> (2024, MPSV)</w:t>
      </w:r>
      <w:r w:rsidRPr="00E8602A">
        <w:rPr>
          <w:rFonts w:ascii="Arial" w:hAnsi="Arial" w:cs="Arial"/>
        </w:rPr>
        <w:t>, Koncepce bydlení</w:t>
      </w:r>
      <w:r>
        <w:rPr>
          <w:rFonts w:ascii="Arial" w:hAnsi="Arial" w:cs="Arial"/>
        </w:rPr>
        <w:t xml:space="preserve"> (2024, MMR)</w:t>
      </w:r>
      <w:r w:rsidRPr="00E8602A">
        <w:rPr>
          <w:rFonts w:ascii="Arial" w:hAnsi="Arial" w:cs="Arial"/>
        </w:rPr>
        <w:t>, Strategie regionálního rozvoje</w:t>
      </w:r>
      <w:r>
        <w:rPr>
          <w:rFonts w:ascii="Arial" w:hAnsi="Arial" w:cs="Arial"/>
        </w:rPr>
        <w:t xml:space="preserve"> (2024, MMR)</w:t>
      </w:r>
      <w:r w:rsidRPr="00E8602A">
        <w:rPr>
          <w:rFonts w:ascii="Arial" w:hAnsi="Arial" w:cs="Arial"/>
        </w:rPr>
        <w:t>, Zdraví 2030</w:t>
      </w:r>
      <w:r>
        <w:rPr>
          <w:rFonts w:ascii="Arial" w:hAnsi="Arial" w:cs="Arial"/>
        </w:rPr>
        <w:t xml:space="preserve"> (2025, </w:t>
      </w:r>
      <w:proofErr w:type="spellStart"/>
      <w:r>
        <w:rPr>
          <w:rFonts w:ascii="Arial" w:hAnsi="Arial" w:cs="Arial"/>
        </w:rPr>
        <w:t>MZd</w:t>
      </w:r>
      <w:proofErr w:type="spellEnd"/>
      <w:r>
        <w:rPr>
          <w:rFonts w:ascii="Arial" w:hAnsi="Arial" w:cs="Arial"/>
        </w:rPr>
        <w:t xml:space="preserve">, zde má jít o revizi, takže přepokládáme, že součástí bude </w:t>
      </w:r>
      <w:proofErr w:type="spellStart"/>
      <w:r>
        <w:rPr>
          <w:rFonts w:ascii="Arial" w:hAnsi="Arial" w:cs="Arial"/>
        </w:rPr>
        <w:t>nějaka</w:t>
      </w:r>
      <w:proofErr w:type="spellEnd"/>
      <w:r>
        <w:rPr>
          <w:rFonts w:ascii="Arial" w:hAnsi="Arial" w:cs="Arial"/>
        </w:rPr>
        <w:t xml:space="preserve"> forma evaluace)</w:t>
      </w:r>
      <w:r w:rsidRPr="00E8602A">
        <w:rPr>
          <w:rFonts w:ascii="Arial" w:hAnsi="Arial" w:cs="Arial"/>
        </w:rPr>
        <w:t xml:space="preserve"> a Strategie malých a středních podniků</w:t>
      </w:r>
      <w:r>
        <w:rPr>
          <w:rFonts w:ascii="Arial" w:hAnsi="Arial" w:cs="Arial"/>
        </w:rPr>
        <w:t xml:space="preserve"> (2025, MPO)</w:t>
      </w:r>
      <w:r w:rsidRPr="00E8602A">
        <w:rPr>
          <w:rFonts w:ascii="Arial" w:hAnsi="Arial" w:cs="Arial"/>
        </w:rPr>
        <w:t>.</w:t>
      </w:r>
    </w:p>
    <w:p w:rsidR="00C23145" w:rsidRDefault="00C23145" w:rsidP="00C23145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L. Sršňová</w:t>
      </w:r>
      <w:r w:rsidRPr="009C5ABB">
        <w:rPr>
          <w:rFonts w:ascii="Arial" w:hAnsi="Arial" w:cs="Arial"/>
        </w:rPr>
        <w:t xml:space="preserve"> následně přešla k Projektu Koherence pol</w:t>
      </w:r>
      <w:r>
        <w:rPr>
          <w:rFonts w:ascii="Arial" w:hAnsi="Arial" w:cs="Arial"/>
        </w:rPr>
        <w:t>itik pro udržitelný rozvoj, který je součástí NPO</w:t>
      </w:r>
      <w:r w:rsidRPr="009C5A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Základními cíli projektu je zajistit, že žádná národní strategie nebude protiřečit ČR 2030 (koherence ve „slabém“ smyslu), dále že omezený počet klíčových strategií bude k naplnění ČR 2030 přímo přispívat a bude k tomu účelu uzpůsoben jako obsahově, tak procesně (koherence v „silném“ smyslu) a konečně, že klíčové strategie budou vyčísleny a bude existovat smysluplné propojení strategií s rozpočtováním. Po formální stránce se tyto věci zhmotní v „</w:t>
      </w:r>
      <w:proofErr w:type="spellStart"/>
      <w:r>
        <w:rPr>
          <w:rFonts w:ascii="Arial" w:hAnsi="Arial" w:cs="Arial"/>
        </w:rPr>
        <w:t>masterplanu</w:t>
      </w:r>
      <w:proofErr w:type="spellEnd"/>
      <w:r>
        <w:rPr>
          <w:rFonts w:ascii="Arial" w:hAnsi="Arial" w:cs="Arial"/>
        </w:rPr>
        <w:t xml:space="preserve">“.  </w:t>
      </w:r>
    </w:p>
    <w:p w:rsidR="00C23145" w:rsidRDefault="00C23145" w:rsidP="00510A2E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506A5B">
        <w:rPr>
          <w:rFonts w:ascii="Arial" w:hAnsi="Arial" w:cs="Arial"/>
        </w:rPr>
        <w:t xml:space="preserve">ěhem června 2024 bude MŽP prezentovat první informace o koherenci (ve slabém smyslu). Během září 2024 by měla následovat druhá informace o koherenci (v silném smyslu) a první návrh procesních a </w:t>
      </w:r>
      <w:r>
        <w:rPr>
          <w:rFonts w:ascii="Arial" w:hAnsi="Arial" w:cs="Arial"/>
        </w:rPr>
        <w:t>obsahových doporučení. Od podzimu</w:t>
      </w:r>
      <w:r w:rsidRPr="00506A5B">
        <w:rPr>
          <w:rFonts w:ascii="Arial" w:hAnsi="Arial" w:cs="Arial"/>
        </w:rPr>
        <w:t xml:space="preserve"> 2024 do léta 2025 bude probíhat diskuse o</w:t>
      </w:r>
      <w:r>
        <w:rPr>
          <w:rFonts w:ascii="Arial" w:hAnsi="Arial" w:cs="Arial"/>
        </w:rPr>
        <w:t> </w:t>
      </w:r>
      <w:r w:rsidRPr="00506A5B">
        <w:rPr>
          <w:rFonts w:ascii="Arial" w:hAnsi="Arial" w:cs="Arial"/>
        </w:rPr>
        <w:t>úpravách strategií a proces vyč</w:t>
      </w:r>
      <w:r>
        <w:rPr>
          <w:rFonts w:ascii="Arial" w:hAnsi="Arial" w:cs="Arial"/>
        </w:rPr>
        <w:t>íslování nákladů strategií. Na podzim</w:t>
      </w:r>
      <w:r w:rsidRPr="00506A5B">
        <w:rPr>
          <w:rFonts w:ascii="Arial" w:hAnsi="Arial" w:cs="Arial"/>
        </w:rPr>
        <w:t xml:space="preserve"> 2025 by následně proběhlo meziresortní připomínkové řízení a </w:t>
      </w:r>
      <w:r>
        <w:rPr>
          <w:rFonts w:ascii="Arial" w:hAnsi="Arial" w:cs="Arial"/>
        </w:rPr>
        <w:t> do prosince</w:t>
      </w:r>
      <w:r w:rsidRPr="00506A5B">
        <w:rPr>
          <w:rFonts w:ascii="Arial" w:hAnsi="Arial" w:cs="Arial"/>
        </w:rPr>
        <w:t xml:space="preserve"> 2025 </w:t>
      </w:r>
      <w:r>
        <w:rPr>
          <w:rFonts w:ascii="Arial" w:hAnsi="Arial" w:cs="Arial"/>
        </w:rPr>
        <w:t>musí</w:t>
      </w:r>
      <w:r w:rsidRPr="00506A5B">
        <w:rPr>
          <w:rFonts w:ascii="Arial" w:hAnsi="Arial" w:cs="Arial"/>
        </w:rPr>
        <w:t xml:space="preserve"> dojít ke schválení Zprávy vládou a </w:t>
      </w:r>
      <w:r>
        <w:rPr>
          <w:rFonts w:ascii="Arial" w:hAnsi="Arial" w:cs="Arial"/>
        </w:rPr>
        <w:t xml:space="preserve">tedy </w:t>
      </w:r>
      <w:r w:rsidRPr="00506A5B">
        <w:rPr>
          <w:rFonts w:ascii="Arial" w:hAnsi="Arial" w:cs="Arial"/>
        </w:rPr>
        <w:t xml:space="preserve">splnění </w:t>
      </w:r>
      <w:r>
        <w:rPr>
          <w:rFonts w:ascii="Arial" w:hAnsi="Arial" w:cs="Arial"/>
        </w:rPr>
        <w:t xml:space="preserve">příslušného </w:t>
      </w:r>
      <w:r w:rsidRPr="00506A5B">
        <w:rPr>
          <w:rFonts w:ascii="Arial" w:hAnsi="Arial" w:cs="Arial"/>
        </w:rPr>
        <w:t>m</w:t>
      </w:r>
      <w:r>
        <w:rPr>
          <w:rFonts w:ascii="Arial" w:hAnsi="Arial" w:cs="Arial"/>
        </w:rPr>
        <w:t>ilníku NPO</w:t>
      </w:r>
      <w:r w:rsidRPr="00506A5B">
        <w:rPr>
          <w:rFonts w:ascii="Arial" w:hAnsi="Arial" w:cs="Arial"/>
        </w:rPr>
        <w:t xml:space="preserve">. </w:t>
      </w:r>
    </w:p>
    <w:p w:rsidR="00C23145" w:rsidRPr="00E8602A" w:rsidRDefault="00C23145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06A5B">
        <w:rPr>
          <w:rFonts w:ascii="Arial" w:hAnsi="Arial" w:cs="Arial"/>
        </w:rPr>
        <w:t>Od výboru se primárně očekává diskuse návrhů na vazby mezi strategiemi či úpravy strategií a diskuse vyčíslovaných nákladů strategií.</w:t>
      </w:r>
    </w:p>
    <w:p w:rsidR="00E8602A" w:rsidRPr="00E8602A" w:rsidRDefault="00E8602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P. Žá</w:t>
      </w:r>
      <w:r w:rsidR="000F733E" w:rsidRPr="00590348">
        <w:rPr>
          <w:rFonts w:ascii="Arial" w:hAnsi="Arial" w:cs="Arial"/>
          <w:b/>
        </w:rPr>
        <w:t>ková</w:t>
      </w:r>
      <w:r w:rsidR="000F733E">
        <w:rPr>
          <w:rFonts w:ascii="Arial" w:hAnsi="Arial" w:cs="Arial"/>
        </w:rPr>
        <w:t xml:space="preserve"> doplnila, že bude třeba pře</w:t>
      </w:r>
      <w:r w:rsidRPr="00E8602A">
        <w:rPr>
          <w:rFonts w:ascii="Arial" w:hAnsi="Arial" w:cs="Arial"/>
        </w:rPr>
        <w:t>dat informace o zmiňovaných opatřeních, kterým by se měla věnovat pozornost, kolegům z MPSV a MPO, kteří dnes nejsou přítomni na jednání výboru.</w:t>
      </w:r>
    </w:p>
    <w:p w:rsidR="00506A5B" w:rsidRPr="00506A5B" w:rsidRDefault="00506A5B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lastRenderedPageBreak/>
        <w:t>P. Žáková</w:t>
      </w:r>
      <w:r w:rsidRPr="00506A5B">
        <w:rPr>
          <w:rFonts w:ascii="Arial" w:hAnsi="Arial" w:cs="Arial"/>
        </w:rPr>
        <w:t xml:space="preserve"> ocenila ambicióznost tohoto projektu. Ujistila se, že k vyčíslování nákladů dojde jen v</w:t>
      </w:r>
      <w:r w:rsidR="00487BA6">
        <w:rPr>
          <w:rFonts w:ascii="Arial" w:hAnsi="Arial" w:cs="Arial"/>
        </w:rPr>
        <w:t> </w:t>
      </w:r>
      <w:r w:rsidRPr="00506A5B">
        <w:rPr>
          <w:rFonts w:ascii="Arial" w:hAnsi="Arial" w:cs="Arial"/>
        </w:rPr>
        <w:t>případě vytipovaných klíčových strategií.</w:t>
      </w:r>
    </w:p>
    <w:p w:rsidR="00506A5B" w:rsidRPr="00506A5B" w:rsidRDefault="008C36D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L. Sršňová</w:t>
      </w:r>
      <w:r w:rsidR="00506A5B" w:rsidRPr="00506A5B">
        <w:rPr>
          <w:rFonts w:ascii="Arial" w:hAnsi="Arial" w:cs="Arial"/>
        </w:rPr>
        <w:t xml:space="preserve"> reagovala s informací, že je v podstatě nemožné vyčíslit náklady všech strategií. Nicméně záměrem je pokrýt přístup k financování strategií obecně. Chtěli by najít systém, jak propojit strategie s konkrétními položkami a finančními zdroji.</w:t>
      </w:r>
    </w:p>
    <w:p w:rsidR="00506A5B" w:rsidRPr="00506A5B" w:rsidRDefault="00506A5B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M. Polášek</w:t>
      </w:r>
      <w:r w:rsidR="00590348">
        <w:rPr>
          <w:rFonts w:ascii="Arial" w:hAnsi="Arial" w:cs="Arial"/>
        </w:rPr>
        <w:t xml:space="preserve"> </w:t>
      </w:r>
      <w:r w:rsidR="00590348" w:rsidRPr="00590348">
        <w:rPr>
          <w:rFonts w:ascii="Arial" w:hAnsi="Arial" w:cs="Arial"/>
          <w:b/>
        </w:rPr>
        <w:t>(MŽP)</w:t>
      </w:r>
      <w:r w:rsidRPr="00506A5B">
        <w:rPr>
          <w:rFonts w:ascii="Arial" w:hAnsi="Arial" w:cs="Arial"/>
        </w:rPr>
        <w:t xml:space="preserve"> doplnil, že s kolegy z MPO a MPSV je v kontaktu. Počítají s tím, že na </w:t>
      </w:r>
      <w:r w:rsidR="00AE0EF4">
        <w:rPr>
          <w:rFonts w:ascii="Arial" w:hAnsi="Arial" w:cs="Arial"/>
        </w:rPr>
        <w:t xml:space="preserve">příštím zasedání </w:t>
      </w:r>
      <w:r w:rsidRPr="00506A5B">
        <w:rPr>
          <w:rFonts w:ascii="Arial" w:hAnsi="Arial" w:cs="Arial"/>
        </w:rPr>
        <w:t>výboru, kter</w:t>
      </w:r>
      <w:r w:rsidR="00AE0EF4">
        <w:rPr>
          <w:rFonts w:ascii="Arial" w:hAnsi="Arial" w:cs="Arial"/>
        </w:rPr>
        <w:t>é</w:t>
      </w:r>
      <w:r w:rsidRPr="00506A5B">
        <w:rPr>
          <w:rFonts w:ascii="Arial" w:hAnsi="Arial" w:cs="Arial"/>
        </w:rPr>
        <w:t xml:space="preserve"> </w:t>
      </w:r>
      <w:r w:rsidR="00AE0EF4">
        <w:rPr>
          <w:rFonts w:ascii="Arial" w:hAnsi="Arial" w:cs="Arial"/>
        </w:rPr>
        <w:t>se uskuteční</w:t>
      </w:r>
      <w:r w:rsidRPr="00506A5B">
        <w:rPr>
          <w:rFonts w:ascii="Arial" w:hAnsi="Arial" w:cs="Arial"/>
        </w:rPr>
        <w:t xml:space="preserve"> na podzim</w:t>
      </w:r>
      <w:r>
        <w:rPr>
          <w:rFonts w:ascii="Arial" w:hAnsi="Arial" w:cs="Arial"/>
        </w:rPr>
        <w:t>,</w:t>
      </w:r>
      <w:r w:rsidRPr="00506A5B">
        <w:rPr>
          <w:rFonts w:ascii="Arial" w:hAnsi="Arial" w:cs="Arial"/>
        </w:rPr>
        <w:t xml:space="preserve"> </w:t>
      </w:r>
      <w:r w:rsidR="008C36DA">
        <w:rPr>
          <w:rFonts w:ascii="Arial" w:hAnsi="Arial" w:cs="Arial"/>
        </w:rPr>
        <w:t xml:space="preserve">se </w:t>
      </w:r>
      <w:r w:rsidRPr="00506A5B">
        <w:rPr>
          <w:rFonts w:ascii="Arial" w:hAnsi="Arial" w:cs="Arial"/>
        </w:rPr>
        <w:t>budou zmiňována opa</w:t>
      </w:r>
      <w:r w:rsidR="008C36DA">
        <w:rPr>
          <w:rFonts w:ascii="Arial" w:hAnsi="Arial" w:cs="Arial"/>
        </w:rPr>
        <w:t xml:space="preserve">tření </w:t>
      </w:r>
      <w:r w:rsidR="00AE0EF4">
        <w:rPr>
          <w:rFonts w:ascii="Arial" w:hAnsi="Arial" w:cs="Arial"/>
        </w:rPr>
        <w:t>debatovat</w:t>
      </w:r>
      <w:r w:rsidRPr="00506A5B">
        <w:rPr>
          <w:rFonts w:ascii="Arial" w:hAnsi="Arial" w:cs="Arial"/>
        </w:rPr>
        <w:t>.</w:t>
      </w:r>
      <w:r w:rsidR="00C23145">
        <w:rPr>
          <w:rFonts w:ascii="Arial" w:hAnsi="Arial" w:cs="Arial"/>
        </w:rPr>
        <w:t xml:space="preserve"> Následně p</w:t>
      </w:r>
      <w:r w:rsidR="00C23145" w:rsidRPr="00C23145">
        <w:rPr>
          <w:rFonts w:ascii="Arial" w:hAnsi="Arial" w:cs="Arial"/>
        </w:rPr>
        <w:t>otvrdil, že vyčíslování nákladů se bude týkat pouze klíčových strategií, ale současně je záměrem i nalezení funkčního mecha</w:t>
      </w:r>
      <w:bookmarkStart w:id="0" w:name="_GoBack"/>
      <w:bookmarkEnd w:id="0"/>
      <w:r w:rsidR="00C23145" w:rsidRPr="00C23145">
        <w:rPr>
          <w:rFonts w:ascii="Arial" w:hAnsi="Arial" w:cs="Arial"/>
        </w:rPr>
        <w:t>nismu pro propojení strategií s finančními záměry obecně.</w:t>
      </w:r>
    </w:p>
    <w:p w:rsidR="00506A5B" w:rsidRPr="00506A5B" w:rsidRDefault="00506A5B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J. Nekovář</w:t>
      </w:r>
      <w:r w:rsidRPr="00506A5B">
        <w:rPr>
          <w:rFonts w:ascii="Arial" w:hAnsi="Arial" w:cs="Arial"/>
        </w:rPr>
        <w:t xml:space="preserve"> upozornil, že 80 procent výdajů z rozpočtu je mandatorních</w:t>
      </w:r>
      <w:r w:rsidR="00A53B4A">
        <w:rPr>
          <w:rFonts w:ascii="Arial" w:hAnsi="Arial" w:cs="Arial"/>
        </w:rPr>
        <w:t xml:space="preserve"> a prostor pro investice je tedy omezen.</w:t>
      </w:r>
    </w:p>
    <w:p w:rsidR="00506A5B" w:rsidRDefault="00506A5B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P. Žáková</w:t>
      </w:r>
      <w:r w:rsidRPr="00506A5B">
        <w:rPr>
          <w:rFonts w:ascii="Arial" w:hAnsi="Arial" w:cs="Arial"/>
        </w:rPr>
        <w:t xml:space="preserve"> doplnila, že většina strategií má </w:t>
      </w:r>
      <w:r w:rsidR="00A53B4A">
        <w:rPr>
          <w:rFonts w:ascii="Arial" w:hAnsi="Arial" w:cs="Arial"/>
        </w:rPr>
        <w:t xml:space="preserve">při implementaci </w:t>
      </w:r>
      <w:r w:rsidRPr="00506A5B">
        <w:rPr>
          <w:rFonts w:ascii="Arial" w:hAnsi="Arial" w:cs="Arial"/>
        </w:rPr>
        <w:t>náklady v krátkodobém horizontu a</w:t>
      </w:r>
      <w:r w:rsidR="00A53B4A">
        <w:rPr>
          <w:rFonts w:ascii="Arial" w:hAnsi="Arial" w:cs="Arial"/>
        </w:rPr>
        <w:t> </w:t>
      </w:r>
      <w:r w:rsidRPr="00506A5B">
        <w:rPr>
          <w:rFonts w:ascii="Arial" w:hAnsi="Arial" w:cs="Arial"/>
        </w:rPr>
        <w:t>přínosy v</w:t>
      </w:r>
      <w:r w:rsidR="00A53B4A">
        <w:rPr>
          <w:rFonts w:ascii="Arial" w:hAnsi="Arial" w:cs="Arial"/>
        </w:rPr>
        <w:t> </w:t>
      </w:r>
      <w:r w:rsidRPr="00506A5B">
        <w:rPr>
          <w:rFonts w:ascii="Arial" w:hAnsi="Arial" w:cs="Arial"/>
        </w:rPr>
        <w:t xml:space="preserve">dlouhodobém horizontu, </w:t>
      </w:r>
      <w:r w:rsidR="00862BBC">
        <w:rPr>
          <w:rFonts w:ascii="Arial" w:hAnsi="Arial" w:cs="Arial"/>
        </w:rPr>
        <w:t>což komplikuje politickou shodu na financování konkrétní strategie.</w:t>
      </w:r>
      <w:r w:rsidR="00AB71B4">
        <w:rPr>
          <w:rFonts w:ascii="Arial" w:hAnsi="Arial" w:cs="Arial"/>
        </w:rPr>
        <w:t xml:space="preserve"> </w:t>
      </w:r>
      <w:r w:rsidR="00862BBC">
        <w:rPr>
          <w:rFonts w:ascii="Arial" w:hAnsi="Arial" w:cs="Arial"/>
        </w:rPr>
        <w:t>J</w:t>
      </w:r>
      <w:r w:rsidRPr="00506A5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důležité</w:t>
      </w:r>
      <w:r w:rsidR="00862BBC">
        <w:rPr>
          <w:rFonts w:ascii="Arial" w:hAnsi="Arial" w:cs="Arial"/>
        </w:rPr>
        <w:t xml:space="preserve"> jednotlivé strategie naplánovat tak</w:t>
      </w:r>
      <w:r>
        <w:rPr>
          <w:rFonts w:ascii="Arial" w:hAnsi="Arial" w:cs="Arial"/>
        </w:rPr>
        <w:t xml:space="preserve">, aby </w:t>
      </w:r>
      <w:r w:rsidR="00AB71B4">
        <w:rPr>
          <w:rFonts w:ascii="Arial" w:hAnsi="Arial" w:cs="Arial"/>
        </w:rPr>
        <w:t xml:space="preserve">se </w:t>
      </w:r>
      <w:r w:rsidR="00862BBC">
        <w:rPr>
          <w:rFonts w:ascii="Arial" w:hAnsi="Arial" w:cs="Arial"/>
        </w:rPr>
        <w:t>náklady a přínosy v čase kompenzovaly</w:t>
      </w:r>
      <w:r w:rsidRPr="00506A5B">
        <w:rPr>
          <w:rFonts w:ascii="Arial" w:hAnsi="Arial" w:cs="Arial"/>
        </w:rPr>
        <w:t>.</w:t>
      </w:r>
    </w:p>
    <w:p w:rsidR="0080300A" w:rsidRDefault="0080300A" w:rsidP="00510A2E">
      <w:pPr>
        <w:spacing w:before="240" w:after="12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</w:t>
      </w:r>
      <w:r w:rsidRPr="00C01C64">
        <w:rPr>
          <w:rFonts w:ascii="Arial" w:hAnsi="Arial" w:cs="Arial"/>
          <w:b/>
          <w:u w:val="single"/>
        </w:rPr>
        <w:t xml:space="preserve">od programu </w:t>
      </w:r>
      <w:r w:rsidR="0069127B">
        <w:rPr>
          <w:rFonts w:ascii="Arial" w:hAnsi="Arial" w:cs="Arial"/>
          <w:b/>
          <w:u w:val="single"/>
        </w:rPr>
        <w:t>5</w:t>
      </w:r>
      <w:r w:rsidRPr="00C01C64">
        <w:rPr>
          <w:rFonts w:ascii="Arial" w:hAnsi="Arial" w:cs="Arial"/>
          <w:b/>
          <w:u w:val="single"/>
        </w:rPr>
        <w:t xml:space="preserve">) </w:t>
      </w:r>
      <w:r w:rsidR="00995C9F" w:rsidRPr="00995C9F">
        <w:rPr>
          <w:rFonts w:ascii="Arial" w:hAnsi="Arial" w:cs="Arial"/>
          <w:b/>
          <w:u w:val="single"/>
        </w:rPr>
        <w:t xml:space="preserve">EU </w:t>
      </w:r>
      <w:proofErr w:type="spellStart"/>
      <w:r w:rsidR="00995C9F" w:rsidRPr="00995C9F">
        <w:rPr>
          <w:rFonts w:ascii="Arial" w:hAnsi="Arial" w:cs="Arial"/>
          <w:b/>
          <w:u w:val="single"/>
        </w:rPr>
        <w:t>foresight</w:t>
      </w:r>
      <w:proofErr w:type="spellEnd"/>
    </w:p>
    <w:p w:rsidR="00506A5B" w:rsidRPr="00506A5B" w:rsidRDefault="00506A5B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P. Žáková</w:t>
      </w:r>
      <w:r w:rsidRPr="00506A5B">
        <w:rPr>
          <w:rFonts w:ascii="Arial" w:hAnsi="Arial" w:cs="Arial"/>
        </w:rPr>
        <w:t xml:space="preserve"> uvedla informaci k nedávným </w:t>
      </w:r>
      <w:proofErr w:type="spellStart"/>
      <w:r w:rsidRPr="00506A5B">
        <w:rPr>
          <w:rFonts w:ascii="Arial" w:hAnsi="Arial" w:cs="Arial"/>
        </w:rPr>
        <w:t>foresightovým</w:t>
      </w:r>
      <w:proofErr w:type="spellEnd"/>
      <w:r w:rsidRPr="00506A5B">
        <w:rPr>
          <w:rFonts w:ascii="Arial" w:hAnsi="Arial" w:cs="Arial"/>
        </w:rPr>
        <w:t xml:space="preserve"> aktivitám na úrovni EU. </w:t>
      </w:r>
      <w:r w:rsidR="00862BBC">
        <w:rPr>
          <w:rFonts w:ascii="Arial" w:hAnsi="Arial" w:cs="Arial"/>
        </w:rPr>
        <w:t xml:space="preserve">Evropská komise letos nepřipravuje svůj pravidelný </w:t>
      </w:r>
      <w:proofErr w:type="spellStart"/>
      <w:r w:rsidRPr="00506A5B">
        <w:rPr>
          <w:rFonts w:ascii="Arial" w:hAnsi="Arial" w:cs="Arial"/>
        </w:rPr>
        <w:t>Strategic</w:t>
      </w:r>
      <w:proofErr w:type="spellEnd"/>
      <w:r w:rsidRPr="00506A5B">
        <w:rPr>
          <w:rFonts w:ascii="Arial" w:hAnsi="Arial" w:cs="Arial"/>
        </w:rPr>
        <w:t xml:space="preserve"> </w:t>
      </w:r>
      <w:proofErr w:type="spellStart"/>
      <w:r w:rsidRPr="00506A5B">
        <w:rPr>
          <w:rFonts w:ascii="Arial" w:hAnsi="Arial" w:cs="Arial"/>
        </w:rPr>
        <w:t>Foresigt</w:t>
      </w:r>
      <w:proofErr w:type="spellEnd"/>
      <w:r w:rsidRPr="00506A5B">
        <w:rPr>
          <w:rFonts w:ascii="Arial" w:hAnsi="Arial" w:cs="Arial"/>
        </w:rPr>
        <w:t xml:space="preserve"> Report</w:t>
      </w:r>
      <w:r w:rsidR="00862BBC">
        <w:rPr>
          <w:rFonts w:ascii="Arial" w:hAnsi="Arial" w:cs="Arial"/>
        </w:rPr>
        <w:t>, a to</w:t>
      </w:r>
      <w:r w:rsidRPr="00506A5B">
        <w:rPr>
          <w:rFonts w:ascii="Arial" w:hAnsi="Arial" w:cs="Arial"/>
        </w:rPr>
        <w:t xml:space="preserve"> z důvodu nového institucionálního cyklu</w:t>
      </w:r>
      <w:r w:rsidR="008C36DA">
        <w:rPr>
          <w:rFonts w:ascii="Arial" w:hAnsi="Arial" w:cs="Arial"/>
        </w:rPr>
        <w:t xml:space="preserve"> EU</w:t>
      </w:r>
      <w:r w:rsidRPr="00506A5B">
        <w:rPr>
          <w:rFonts w:ascii="Arial" w:hAnsi="Arial" w:cs="Arial"/>
        </w:rPr>
        <w:t xml:space="preserve">. Namísto toho vyšel ESPAS </w:t>
      </w:r>
      <w:proofErr w:type="spellStart"/>
      <w:r w:rsidRPr="00506A5B">
        <w:rPr>
          <w:rFonts w:ascii="Arial" w:hAnsi="Arial" w:cs="Arial"/>
        </w:rPr>
        <w:t>Global</w:t>
      </w:r>
      <w:proofErr w:type="spellEnd"/>
      <w:r w:rsidRPr="00506A5B">
        <w:rPr>
          <w:rFonts w:ascii="Arial" w:hAnsi="Arial" w:cs="Arial"/>
        </w:rPr>
        <w:t xml:space="preserve"> </w:t>
      </w:r>
      <w:proofErr w:type="spellStart"/>
      <w:r w:rsidRPr="00506A5B">
        <w:rPr>
          <w:rFonts w:ascii="Arial" w:hAnsi="Arial" w:cs="Arial"/>
        </w:rPr>
        <w:t>Trends</w:t>
      </w:r>
      <w:proofErr w:type="spellEnd"/>
      <w:r w:rsidRPr="00506A5B">
        <w:rPr>
          <w:rFonts w:ascii="Arial" w:hAnsi="Arial" w:cs="Arial"/>
        </w:rPr>
        <w:t xml:space="preserve"> Report: </w:t>
      </w:r>
      <w:proofErr w:type="spellStart"/>
      <w:r w:rsidRPr="00506A5B">
        <w:rPr>
          <w:rFonts w:ascii="Arial" w:hAnsi="Arial" w:cs="Arial"/>
        </w:rPr>
        <w:t>Choosing</w:t>
      </w:r>
      <w:proofErr w:type="spellEnd"/>
      <w:r w:rsidRPr="00506A5B">
        <w:rPr>
          <w:rFonts w:ascii="Arial" w:hAnsi="Arial" w:cs="Arial"/>
        </w:rPr>
        <w:t xml:space="preserve"> </w:t>
      </w:r>
      <w:proofErr w:type="spellStart"/>
      <w:r w:rsidRPr="00506A5B">
        <w:rPr>
          <w:rFonts w:ascii="Arial" w:hAnsi="Arial" w:cs="Arial"/>
        </w:rPr>
        <w:t>Europe's</w:t>
      </w:r>
      <w:proofErr w:type="spellEnd"/>
      <w:r w:rsidRPr="00506A5B">
        <w:rPr>
          <w:rFonts w:ascii="Arial" w:hAnsi="Arial" w:cs="Arial"/>
        </w:rPr>
        <w:t xml:space="preserve"> </w:t>
      </w:r>
      <w:proofErr w:type="spellStart"/>
      <w:r w:rsidRPr="00506A5B">
        <w:rPr>
          <w:rFonts w:ascii="Arial" w:hAnsi="Arial" w:cs="Arial"/>
        </w:rPr>
        <w:t>Future</w:t>
      </w:r>
      <w:proofErr w:type="spellEnd"/>
      <w:r w:rsidRPr="00506A5B">
        <w:rPr>
          <w:rFonts w:ascii="Arial" w:hAnsi="Arial" w:cs="Arial"/>
        </w:rPr>
        <w:t>, který popisuje hlavní globální trendy jako například environm</w:t>
      </w:r>
      <w:r w:rsidR="008C36DA">
        <w:rPr>
          <w:rFonts w:ascii="Arial" w:hAnsi="Arial" w:cs="Arial"/>
        </w:rPr>
        <w:t>entální udržitelnost, demografii, geopolitiku</w:t>
      </w:r>
      <w:r w:rsidRPr="00506A5B">
        <w:rPr>
          <w:rFonts w:ascii="Arial" w:hAnsi="Arial" w:cs="Arial"/>
        </w:rPr>
        <w:t xml:space="preserve">. ESPAS je sdružení </w:t>
      </w:r>
      <w:proofErr w:type="spellStart"/>
      <w:r w:rsidRPr="00506A5B">
        <w:rPr>
          <w:rFonts w:ascii="Arial" w:hAnsi="Arial" w:cs="Arial"/>
        </w:rPr>
        <w:t>foresightových</w:t>
      </w:r>
      <w:proofErr w:type="spellEnd"/>
      <w:r w:rsidRPr="00506A5B">
        <w:rPr>
          <w:rFonts w:ascii="Arial" w:hAnsi="Arial" w:cs="Arial"/>
        </w:rPr>
        <w:t xml:space="preserve"> kapacit jednotlivých institucí EU. Tento report vychází jednou za 5 let. Dále vychází tzv. ESPAS </w:t>
      </w:r>
      <w:proofErr w:type="spellStart"/>
      <w:r w:rsidRPr="00506A5B">
        <w:rPr>
          <w:rFonts w:ascii="Arial" w:hAnsi="Arial" w:cs="Arial"/>
        </w:rPr>
        <w:t>Horizon</w:t>
      </w:r>
      <w:proofErr w:type="spellEnd"/>
      <w:r w:rsidRPr="00506A5B">
        <w:rPr>
          <w:rFonts w:ascii="Arial" w:hAnsi="Arial" w:cs="Arial"/>
        </w:rPr>
        <w:t xml:space="preserve"> </w:t>
      </w:r>
      <w:proofErr w:type="spellStart"/>
      <w:r w:rsidRPr="00506A5B">
        <w:rPr>
          <w:rFonts w:ascii="Arial" w:hAnsi="Arial" w:cs="Arial"/>
        </w:rPr>
        <w:t>scanning</w:t>
      </w:r>
      <w:proofErr w:type="spellEnd"/>
      <w:r w:rsidRPr="00506A5B">
        <w:rPr>
          <w:rFonts w:ascii="Arial" w:hAnsi="Arial" w:cs="Arial"/>
        </w:rPr>
        <w:t xml:space="preserve"> – </w:t>
      </w:r>
      <w:proofErr w:type="spellStart"/>
      <w:r w:rsidRPr="00506A5B">
        <w:rPr>
          <w:rFonts w:ascii="Arial" w:hAnsi="Arial" w:cs="Arial"/>
        </w:rPr>
        <w:t>policy</w:t>
      </w:r>
      <w:proofErr w:type="spellEnd"/>
      <w:r w:rsidRPr="00506A5B">
        <w:rPr>
          <w:rFonts w:ascii="Arial" w:hAnsi="Arial" w:cs="Arial"/>
        </w:rPr>
        <w:t xml:space="preserve"> </w:t>
      </w:r>
      <w:proofErr w:type="spellStart"/>
      <w:r w:rsidRPr="00506A5B">
        <w:rPr>
          <w:rFonts w:ascii="Arial" w:hAnsi="Arial" w:cs="Arial"/>
        </w:rPr>
        <w:t>briefs</w:t>
      </w:r>
      <w:proofErr w:type="spellEnd"/>
      <w:r w:rsidRPr="00506A5B">
        <w:rPr>
          <w:rFonts w:ascii="Arial" w:hAnsi="Arial" w:cs="Arial"/>
        </w:rPr>
        <w:t xml:space="preserve"> o nových tématech důležitých do budoucna. Jako příklad lze uvést témata vytváření komoditních kartelů (například v případě strategických surovin), podzemní biosféry, vývoje AI robotů se sociálním cítěním či fenomén tzv. </w:t>
      </w:r>
      <w:proofErr w:type="spellStart"/>
      <w:r w:rsidRPr="00506A5B">
        <w:rPr>
          <w:rFonts w:ascii="Arial" w:hAnsi="Arial" w:cs="Arial"/>
        </w:rPr>
        <w:t>dedolarizace</w:t>
      </w:r>
      <w:proofErr w:type="spellEnd"/>
      <w:r w:rsidRPr="00506A5B">
        <w:rPr>
          <w:rFonts w:ascii="Arial" w:hAnsi="Arial" w:cs="Arial"/>
        </w:rPr>
        <w:t>.</w:t>
      </w:r>
    </w:p>
    <w:p w:rsidR="00A53B4A" w:rsidRDefault="00506A5B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P. Žáková</w:t>
      </w:r>
      <w:r w:rsidRPr="00506A5B">
        <w:rPr>
          <w:rFonts w:ascii="Arial" w:hAnsi="Arial" w:cs="Arial"/>
        </w:rPr>
        <w:t xml:space="preserve"> pokračovala s informacemi o síti EU </w:t>
      </w:r>
      <w:proofErr w:type="spellStart"/>
      <w:r w:rsidRPr="00506A5B">
        <w:rPr>
          <w:rFonts w:ascii="Arial" w:hAnsi="Arial" w:cs="Arial"/>
        </w:rPr>
        <w:t>Foresightu</w:t>
      </w:r>
      <w:proofErr w:type="spellEnd"/>
      <w:r w:rsidRPr="00506A5B">
        <w:rPr>
          <w:rFonts w:ascii="Arial" w:hAnsi="Arial" w:cs="Arial"/>
        </w:rPr>
        <w:t xml:space="preserve">. Formální síť </w:t>
      </w:r>
      <w:proofErr w:type="spellStart"/>
      <w:r w:rsidRPr="00506A5B">
        <w:rPr>
          <w:rFonts w:ascii="Arial" w:hAnsi="Arial" w:cs="Arial"/>
        </w:rPr>
        <w:t>for</w:t>
      </w:r>
      <w:r w:rsidR="008C36DA">
        <w:rPr>
          <w:rFonts w:ascii="Arial" w:hAnsi="Arial" w:cs="Arial"/>
        </w:rPr>
        <w:t>e</w:t>
      </w:r>
      <w:r w:rsidRPr="00506A5B">
        <w:rPr>
          <w:rFonts w:ascii="Arial" w:hAnsi="Arial" w:cs="Arial"/>
        </w:rPr>
        <w:t>sightových</w:t>
      </w:r>
      <w:proofErr w:type="spellEnd"/>
      <w:r w:rsidRPr="00506A5B">
        <w:rPr>
          <w:rFonts w:ascii="Arial" w:hAnsi="Arial" w:cs="Arial"/>
        </w:rPr>
        <w:t xml:space="preserve"> kapacit jednotlivých členských států vznikla v roce 2020. Začátkem </w:t>
      </w:r>
      <w:r w:rsidR="008C36DA">
        <w:rPr>
          <w:rFonts w:ascii="Arial" w:hAnsi="Arial" w:cs="Arial"/>
        </w:rPr>
        <w:t xml:space="preserve">roku 2024 došlo k mapování </w:t>
      </w:r>
      <w:proofErr w:type="spellStart"/>
      <w:r w:rsidR="008C36DA">
        <w:rPr>
          <w:rFonts w:ascii="Arial" w:hAnsi="Arial" w:cs="Arial"/>
        </w:rPr>
        <w:t>fore</w:t>
      </w:r>
      <w:r w:rsidRPr="00506A5B">
        <w:rPr>
          <w:rFonts w:ascii="Arial" w:hAnsi="Arial" w:cs="Arial"/>
        </w:rPr>
        <w:t>sightových</w:t>
      </w:r>
      <w:proofErr w:type="spellEnd"/>
      <w:r w:rsidRPr="00506A5B">
        <w:rPr>
          <w:rFonts w:ascii="Arial" w:hAnsi="Arial" w:cs="Arial"/>
        </w:rPr>
        <w:t xml:space="preserve"> kapacit v členských státech. Výsledkem mapování byl </w:t>
      </w:r>
      <w:proofErr w:type="spellStart"/>
      <w:r w:rsidRPr="00506A5B">
        <w:rPr>
          <w:rFonts w:ascii="Arial" w:hAnsi="Arial" w:cs="Arial"/>
        </w:rPr>
        <w:t>factsheet</w:t>
      </w:r>
      <w:proofErr w:type="spellEnd"/>
      <w:r w:rsidRPr="00506A5B">
        <w:rPr>
          <w:rFonts w:ascii="Arial" w:hAnsi="Arial" w:cs="Arial"/>
        </w:rPr>
        <w:t>, který byl rozesílán všem členům a členkám výboru</w:t>
      </w:r>
      <w:r w:rsidR="00A53B4A">
        <w:rPr>
          <w:rFonts w:ascii="Arial" w:hAnsi="Arial" w:cs="Arial"/>
        </w:rPr>
        <w:t xml:space="preserve"> před jednáním</w:t>
      </w:r>
      <w:r w:rsidRPr="00506A5B">
        <w:rPr>
          <w:rFonts w:ascii="Arial" w:hAnsi="Arial" w:cs="Arial"/>
        </w:rPr>
        <w:t xml:space="preserve">. Součástí </w:t>
      </w:r>
      <w:proofErr w:type="spellStart"/>
      <w:r w:rsidRPr="00506A5B">
        <w:rPr>
          <w:rFonts w:ascii="Arial" w:hAnsi="Arial" w:cs="Arial"/>
        </w:rPr>
        <w:t>factsheetu</w:t>
      </w:r>
      <w:proofErr w:type="spellEnd"/>
      <w:r w:rsidRPr="00506A5B">
        <w:rPr>
          <w:rFonts w:ascii="Arial" w:hAnsi="Arial" w:cs="Arial"/>
        </w:rPr>
        <w:t xml:space="preserve"> byl</w:t>
      </w:r>
      <w:r w:rsidR="00A53B4A">
        <w:rPr>
          <w:rFonts w:ascii="Arial" w:hAnsi="Arial" w:cs="Arial"/>
        </w:rPr>
        <w:t>y informace získané</w:t>
      </w:r>
      <w:r w:rsidRPr="00506A5B">
        <w:rPr>
          <w:rFonts w:ascii="Arial" w:hAnsi="Arial" w:cs="Arial"/>
        </w:rPr>
        <w:t xml:space="preserve"> dotazník</w:t>
      </w:r>
      <w:r w:rsidR="00A53B4A">
        <w:rPr>
          <w:rFonts w:ascii="Arial" w:hAnsi="Arial" w:cs="Arial"/>
        </w:rPr>
        <w:t>em</w:t>
      </w:r>
      <w:r w:rsidRPr="00506A5B">
        <w:rPr>
          <w:rFonts w:ascii="Arial" w:hAnsi="Arial" w:cs="Arial"/>
        </w:rPr>
        <w:t>, který vyplnilo 18 členských států včetně Č</w:t>
      </w:r>
      <w:r w:rsidR="00A53B4A">
        <w:rPr>
          <w:rFonts w:ascii="Arial" w:hAnsi="Arial" w:cs="Arial"/>
        </w:rPr>
        <w:t>R</w:t>
      </w:r>
      <w:r w:rsidRPr="00506A5B">
        <w:rPr>
          <w:rFonts w:ascii="Arial" w:hAnsi="Arial" w:cs="Arial"/>
        </w:rPr>
        <w:t>. V Č</w:t>
      </w:r>
      <w:r w:rsidR="00A53B4A">
        <w:rPr>
          <w:rFonts w:ascii="Arial" w:hAnsi="Arial" w:cs="Arial"/>
        </w:rPr>
        <w:t>R</w:t>
      </w:r>
      <w:r w:rsidRPr="00506A5B">
        <w:rPr>
          <w:rFonts w:ascii="Arial" w:hAnsi="Arial" w:cs="Arial"/>
        </w:rPr>
        <w:t xml:space="preserve"> jsou </w:t>
      </w:r>
      <w:proofErr w:type="spellStart"/>
      <w:r w:rsidRPr="00506A5B">
        <w:rPr>
          <w:rFonts w:ascii="Arial" w:hAnsi="Arial" w:cs="Arial"/>
        </w:rPr>
        <w:t>foresightové</w:t>
      </w:r>
      <w:proofErr w:type="spellEnd"/>
      <w:r w:rsidRPr="00506A5B">
        <w:rPr>
          <w:rFonts w:ascii="Arial" w:hAnsi="Arial" w:cs="Arial"/>
        </w:rPr>
        <w:t xml:space="preserve"> kapacity značně decentralizované, </w:t>
      </w:r>
      <w:r w:rsidR="00862BBC" w:rsidRPr="00506A5B">
        <w:rPr>
          <w:rFonts w:ascii="Arial" w:hAnsi="Arial" w:cs="Arial"/>
        </w:rPr>
        <w:t>koordin</w:t>
      </w:r>
      <w:r w:rsidR="00862BBC">
        <w:rPr>
          <w:rFonts w:ascii="Arial" w:hAnsi="Arial" w:cs="Arial"/>
        </w:rPr>
        <w:t>aci</w:t>
      </w:r>
      <w:r w:rsidR="00862BBC" w:rsidRPr="00506A5B">
        <w:rPr>
          <w:rFonts w:ascii="Arial" w:hAnsi="Arial" w:cs="Arial"/>
        </w:rPr>
        <w:t xml:space="preserve"> </w:t>
      </w:r>
      <w:r w:rsidRPr="00506A5B">
        <w:rPr>
          <w:rFonts w:ascii="Arial" w:hAnsi="Arial" w:cs="Arial"/>
        </w:rPr>
        <w:t>analytických činností zast</w:t>
      </w:r>
      <w:r>
        <w:rPr>
          <w:rFonts w:ascii="Arial" w:hAnsi="Arial" w:cs="Arial"/>
        </w:rPr>
        <w:t>ř</w:t>
      </w:r>
      <w:r w:rsidRPr="00506A5B">
        <w:rPr>
          <w:rFonts w:ascii="Arial" w:hAnsi="Arial" w:cs="Arial"/>
        </w:rPr>
        <w:t xml:space="preserve">ešuje primárně VAÚ. </w:t>
      </w:r>
    </w:p>
    <w:p w:rsidR="00506A5B" w:rsidRDefault="00506A5B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06A5B">
        <w:rPr>
          <w:rFonts w:ascii="Arial" w:hAnsi="Arial" w:cs="Arial"/>
        </w:rPr>
        <w:t xml:space="preserve">19. dubna 2024 proběhlo jednání </w:t>
      </w:r>
      <w:proofErr w:type="spellStart"/>
      <w:r w:rsidRPr="00506A5B">
        <w:rPr>
          <w:rFonts w:ascii="Arial" w:hAnsi="Arial" w:cs="Arial"/>
        </w:rPr>
        <w:t>šerpů</w:t>
      </w:r>
      <w:proofErr w:type="spellEnd"/>
      <w:r w:rsidRPr="00506A5B">
        <w:rPr>
          <w:rFonts w:ascii="Arial" w:hAnsi="Arial" w:cs="Arial"/>
        </w:rPr>
        <w:t xml:space="preserve">, </w:t>
      </w:r>
      <w:r w:rsidR="00862BBC">
        <w:rPr>
          <w:rFonts w:ascii="Arial" w:hAnsi="Arial" w:cs="Arial"/>
        </w:rPr>
        <w:t>na kterém</w:t>
      </w:r>
      <w:r w:rsidRPr="00506A5B">
        <w:rPr>
          <w:rFonts w:ascii="Arial" w:hAnsi="Arial" w:cs="Arial"/>
        </w:rPr>
        <w:t xml:space="preserve"> byla </w:t>
      </w:r>
      <w:r w:rsidR="00A53B4A">
        <w:rPr>
          <w:rFonts w:ascii="Arial" w:hAnsi="Arial" w:cs="Arial"/>
        </w:rPr>
        <w:t>projednána</w:t>
      </w:r>
      <w:r w:rsidRPr="00506A5B">
        <w:rPr>
          <w:rFonts w:ascii="Arial" w:hAnsi="Arial" w:cs="Arial"/>
        </w:rPr>
        <w:t xml:space="preserve"> témata</w:t>
      </w:r>
      <w:r w:rsidR="00A53B4A">
        <w:rPr>
          <w:rFonts w:ascii="Arial" w:hAnsi="Arial" w:cs="Arial"/>
        </w:rPr>
        <w:t xml:space="preserve">: </w:t>
      </w:r>
      <w:r w:rsidRPr="00506A5B">
        <w:rPr>
          <w:rFonts w:ascii="Arial" w:hAnsi="Arial" w:cs="Arial"/>
        </w:rPr>
        <w:t xml:space="preserve">společná digitální platforma pro výměnu informací, shrnutí mapování </w:t>
      </w:r>
      <w:proofErr w:type="spellStart"/>
      <w:r w:rsidRPr="00506A5B">
        <w:rPr>
          <w:rFonts w:ascii="Arial" w:hAnsi="Arial" w:cs="Arial"/>
        </w:rPr>
        <w:t>foresightových</w:t>
      </w:r>
      <w:proofErr w:type="spellEnd"/>
      <w:r w:rsidRPr="00506A5B">
        <w:rPr>
          <w:rFonts w:ascii="Arial" w:hAnsi="Arial" w:cs="Arial"/>
        </w:rPr>
        <w:t xml:space="preserve"> kapacit a příprava diskuse mi</w:t>
      </w:r>
      <w:r>
        <w:rPr>
          <w:rFonts w:ascii="Arial" w:hAnsi="Arial" w:cs="Arial"/>
        </w:rPr>
        <w:t xml:space="preserve">nistrů na základě podkladu </w:t>
      </w:r>
      <w:r w:rsidR="00A53B4A">
        <w:rPr>
          <w:rFonts w:ascii="Arial" w:hAnsi="Arial" w:cs="Arial"/>
        </w:rPr>
        <w:t>belgického předsednictví v Radě EU</w:t>
      </w:r>
      <w:r w:rsidRPr="00506A5B">
        <w:rPr>
          <w:rFonts w:ascii="Arial" w:hAnsi="Arial" w:cs="Arial"/>
        </w:rPr>
        <w:t xml:space="preserve">. 21. května </w:t>
      </w:r>
      <w:r w:rsidR="00A53B4A">
        <w:rPr>
          <w:rFonts w:ascii="Arial" w:hAnsi="Arial" w:cs="Arial"/>
        </w:rPr>
        <w:t>se uskutečnila</w:t>
      </w:r>
      <w:r w:rsidRPr="00506A5B">
        <w:rPr>
          <w:rFonts w:ascii="Arial" w:hAnsi="Arial" w:cs="Arial"/>
        </w:rPr>
        <w:t xml:space="preserve"> diskuse ministrů pro budoucnost v rámci </w:t>
      </w:r>
      <w:r w:rsidR="00A53B4A">
        <w:rPr>
          <w:rFonts w:ascii="Arial" w:hAnsi="Arial" w:cs="Arial"/>
        </w:rPr>
        <w:t>zasedání Rady pro obecné záležitosti (</w:t>
      </w:r>
      <w:r w:rsidRPr="00506A5B">
        <w:rPr>
          <w:rFonts w:ascii="Arial" w:hAnsi="Arial" w:cs="Arial"/>
        </w:rPr>
        <w:t>GAC</w:t>
      </w:r>
      <w:r w:rsidR="00A53B4A">
        <w:rPr>
          <w:rFonts w:ascii="Arial" w:hAnsi="Arial" w:cs="Arial"/>
        </w:rPr>
        <w:t>)</w:t>
      </w:r>
      <w:r w:rsidRPr="00506A5B">
        <w:rPr>
          <w:rFonts w:ascii="Arial" w:hAnsi="Arial" w:cs="Arial"/>
        </w:rPr>
        <w:t>. Za Č</w:t>
      </w:r>
      <w:r w:rsidR="00A53B4A">
        <w:rPr>
          <w:rFonts w:ascii="Arial" w:hAnsi="Arial" w:cs="Arial"/>
        </w:rPr>
        <w:t>R</w:t>
      </w:r>
      <w:r w:rsidRPr="00506A5B">
        <w:rPr>
          <w:rFonts w:ascii="Arial" w:hAnsi="Arial" w:cs="Arial"/>
        </w:rPr>
        <w:t xml:space="preserve"> se zúčastnil pan ministr pro evropské záležitosti Martin Dvořák. Hlavním tématem byla debata o možnostech skloubení konkurenceschopnosti, zvládnutí zelené transformace a zachování sociální spravedlnosti. </w:t>
      </w:r>
      <w:r w:rsidR="008C36DA">
        <w:rPr>
          <w:rFonts w:ascii="Arial" w:hAnsi="Arial" w:cs="Arial"/>
        </w:rPr>
        <w:t>Nicméně</w:t>
      </w:r>
      <w:r w:rsidRPr="00506A5B">
        <w:rPr>
          <w:rFonts w:ascii="Arial" w:hAnsi="Arial" w:cs="Arial"/>
        </w:rPr>
        <w:t xml:space="preserve"> v této debatě chyběly další podstatné aspekty, například element bezpečnosti.</w:t>
      </w:r>
      <w:r w:rsidR="00862BBC">
        <w:rPr>
          <w:rFonts w:ascii="Arial" w:hAnsi="Arial" w:cs="Arial"/>
        </w:rPr>
        <w:t xml:space="preserve"> Na dotaz </w:t>
      </w:r>
      <w:proofErr w:type="spellStart"/>
      <w:proofErr w:type="gramStart"/>
      <w:r w:rsidR="00862BBC" w:rsidRPr="00AB71B4">
        <w:rPr>
          <w:rFonts w:ascii="Arial" w:hAnsi="Arial" w:cs="Arial"/>
          <w:b/>
        </w:rPr>
        <w:t>J.Simonové</w:t>
      </w:r>
      <w:proofErr w:type="spellEnd"/>
      <w:proofErr w:type="gramEnd"/>
      <w:r w:rsidR="00862BBC">
        <w:rPr>
          <w:rFonts w:ascii="Arial" w:hAnsi="Arial" w:cs="Arial"/>
          <w:b/>
        </w:rPr>
        <w:t xml:space="preserve"> </w:t>
      </w:r>
      <w:r w:rsidR="00862BBC">
        <w:rPr>
          <w:rFonts w:ascii="Arial" w:hAnsi="Arial" w:cs="Arial"/>
        </w:rPr>
        <w:t>doplnila</w:t>
      </w:r>
      <w:r w:rsidRPr="00506A5B">
        <w:rPr>
          <w:rFonts w:ascii="Arial" w:hAnsi="Arial" w:cs="Arial"/>
        </w:rPr>
        <w:t xml:space="preserve">, že </w:t>
      </w:r>
      <w:r w:rsidR="00A53B4A">
        <w:rPr>
          <w:rFonts w:ascii="Arial" w:hAnsi="Arial" w:cs="Arial"/>
        </w:rPr>
        <w:t>jednání</w:t>
      </w:r>
      <w:r w:rsidRPr="00506A5B">
        <w:rPr>
          <w:rFonts w:ascii="Arial" w:hAnsi="Arial" w:cs="Arial"/>
        </w:rPr>
        <w:t xml:space="preserve"> ministrů </w:t>
      </w:r>
      <w:r w:rsidR="00A53B4A">
        <w:rPr>
          <w:rFonts w:ascii="Arial" w:hAnsi="Arial" w:cs="Arial"/>
        </w:rPr>
        <w:t xml:space="preserve">zaměřené na </w:t>
      </w:r>
      <w:proofErr w:type="spellStart"/>
      <w:r w:rsidR="00A53B4A">
        <w:rPr>
          <w:rFonts w:ascii="Arial" w:hAnsi="Arial" w:cs="Arial"/>
        </w:rPr>
        <w:t>foresight</w:t>
      </w:r>
      <w:proofErr w:type="spellEnd"/>
      <w:r w:rsidRPr="00506A5B">
        <w:rPr>
          <w:rFonts w:ascii="Arial" w:hAnsi="Arial" w:cs="Arial"/>
        </w:rPr>
        <w:t xml:space="preserve"> </w:t>
      </w:r>
      <w:r w:rsidR="00A53B4A">
        <w:rPr>
          <w:rFonts w:ascii="Arial" w:hAnsi="Arial" w:cs="Arial"/>
        </w:rPr>
        <w:t>se konají</w:t>
      </w:r>
      <w:r w:rsidRPr="00506A5B">
        <w:rPr>
          <w:rFonts w:ascii="Arial" w:hAnsi="Arial" w:cs="Arial"/>
        </w:rPr>
        <w:t xml:space="preserve"> jednou ročně. </w:t>
      </w:r>
      <w:r w:rsidR="00A53B4A">
        <w:rPr>
          <w:rFonts w:ascii="Arial" w:hAnsi="Arial" w:cs="Arial"/>
        </w:rPr>
        <w:t>Zástupci ministrů (</w:t>
      </w:r>
      <w:proofErr w:type="spellStart"/>
      <w:r w:rsidR="00A53B4A">
        <w:rPr>
          <w:rFonts w:ascii="Arial" w:hAnsi="Arial" w:cs="Arial"/>
        </w:rPr>
        <w:t>š</w:t>
      </w:r>
      <w:r w:rsidRPr="00506A5B">
        <w:rPr>
          <w:rFonts w:ascii="Arial" w:hAnsi="Arial" w:cs="Arial"/>
        </w:rPr>
        <w:t>erpové</w:t>
      </w:r>
      <w:proofErr w:type="spellEnd"/>
      <w:r w:rsidRPr="00506A5B">
        <w:rPr>
          <w:rFonts w:ascii="Arial" w:hAnsi="Arial" w:cs="Arial"/>
        </w:rPr>
        <w:t xml:space="preserve"> </w:t>
      </w:r>
      <w:r w:rsidR="00A53B4A">
        <w:rPr>
          <w:rFonts w:ascii="Arial" w:hAnsi="Arial" w:cs="Arial"/>
        </w:rPr>
        <w:t xml:space="preserve">pro </w:t>
      </w:r>
      <w:proofErr w:type="spellStart"/>
      <w:r w:rsidR="00A53B4A">
        <w:rPr>
          <w:rFonts w:ascii="Arial" w:hAnsi="Arial" w:cs="Arial"/>
        </w:rPr>
        <w:t>foresight</w:t>
      </w:r>
      <w:proofErr w:type="spellEnd"/>
      <w:r w:rsidR="00A53B4A">
        <w:rPr>
          <w:rFonts w:ascii="Arial" w:hAnsi="Arial" w:cs="Arial"/>
        </w:rPr>
        <w:t xml:space="preserve">) </w:t>
      </w:r>
      <w:r w:rsidRPr="00506A5B">
        <w:rPr>
          <w:rFonts w:ascii="Arial" w:hAnsi="Arial" w:cs="Arial"/>
        </w:rPr>
        <w:t>se setkávají dvakrát ročně.</w:t>
      </w:r>
    </w:p>
    <w:p w:rsidR="00B341C1" w:rsidRDefault="0080300A" w:rsidP="00510A2E">
      <w:pPr>
        <w:spacing w:before="240" w:after="120" w:line="276" w:lineRule="auto"/>
        <w:jc w:val="both"/>
        <w:rPr>
          <w:rFonts w:ascii="Arial" w:hAnsi="Arial" w:cs="Arial"/>
          <w:b/>
          <w:u w:val="single"/>
        </w:rPr>
      </w:pPr>
      <w:r w:rsidRPr="00B341C1">
        <w:rPr>
          <w:rFonts w:ascii="Arial" w:hAnsi="Arial" w:cs="Arial"/>
          <w:b/>
          <w:u w:val="single"/>
        </w:rPr>
        <w:lastRenderedPageBreak/>
        <w:t>B</w:t>
      </w:r>
      <w:r w:rsidR="0069127B" w:rsidRPr="00B341C1">
        <w:rPr>
          <w:rFonts w:ascii="Arial" w:hAnsi="Arial" w:cs="Arial"/>
          <w:b/>
          <w:u w:val="single"/>
        </w:rPr>
        <w:t>od programu 6</w:t>
      </w:r>
      <w:r w:rsidRPr="00B341C1">
        <w:rPr>
          <w:rFonts w:ascii="Arial" w:hAnsi="Arial" w:cs="Arial"/>
          <w:b/>
          <w:u w:val="single"/>
        </w:rPr>
        <w:t>)</w:t>
      </w:r>
      <w:r w:rsidR="00995C9F" w:rsidRPr="00995C9F">
        <w:t xml:space="preserve"> </w:t>
      </w:r>
      <w:r w:rsidR="00995C9F" w:rsidRPr="00995C9F">
        <w:rPr>
          <w:rFonts w:ascii="Arial" w:hAnsi="Arial" w:cs="Arial"/>
          <w:b/>
          <w:u w:val="single"/>
        </w:rPr>
        <w:t>Novinky z</w:t>
      </w:r>
      <w:r w:rsidR="00D9099C">
        <w:rPr>
          <w:rFonts w:ascii="Arial" w:hAnsi="Arial" w:cs="Arial"/>
          <w:b/>
          <w:u w:val="single"/>
        </w:rPr>
        <w:t> </w:t>
      </w:r>
      <w:r w:rsidR="00995C9F" w:rsidRPr="00995C9F">
        <w:rPr>
          <w:rFonts w:ascii="Arial" w:hAnsi="Arial" w:cs="Arial"/>
          <w:b/>
          <w:u w:val="single"/>
        </w:rPr>
        <w:t>OECD</w:t>
      </w:r>
    </w:p>
    <w:p w:rsidR="00506A5B" w:rsidRPr="00506A5B" w:rsidRDefault="00506A5B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P. Žáková</w:t>
      </w:r>
      <w:r w:rsidRPr="00506A5B">
        <w:rPr>
          <w:rFonts w:ascii="Arial" w:hAnsi="Arial" w:cs="Arial"/>
        </w:rPr>
        <w:t xml:space="preserve"> přivítala</w:t>
      </w:r>
      <w:r w:rsidR="008C36DA">
        <w:rPr>
          <w:rFonts w:ascii="Arial" w:hAnsi="Arial" w:cs="Arial"/>
        </w:rPr>
        <w:t xml:space="preserve"> A. Chmela</w:t>
      </w:r>
      <w:r w:rsidRPr="00506A5B">
        <w:rPr>
          <w:rFonts w:ascii="Arial" w:hAnsi="Arial" w:cs="Arial"/>
        </w:rPr>
        <w:t>ře - českého zástupce v OECD, který je současně i zakladatelem tohoto výboru. Následně ho požádala o sdělení novinek z OECD.</w:t>
      </w:r>
    </w:p>
    <w:p w:rsidR="00EC39C9" w:rsidRDefault="008C36D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A. Chmela</w:t>
      </w:r>
      <w:r w:rsidR="00506A5B" w:rsidRPr="00590348">
        <w:rPr>
          <w:rFonts w:ascii="Arial" w:hAnsi="Arial" w:cs="Arial"/>
          <w:b/>
        </w:rPr>
        <w:t>ř</w:t>
      </w:r>
      <w:r w:rsidR="00590348" w:rsidRPr="00590348">
        <w:rPr>
          <w:rFonts w:ascii="Arial" w:hAnsi="Arial" w:cs="Arial"/>
          <w:b/>
        </w:rPr>
        <w:t xml:space="preserve"> (OECD)</w:t>
      </w:r>
      <w:r w:rsidR="00506A5B" w:rsidRPr="00506A5B">
        <w:rPr>
          <w:rFonts w:ascii="Arial" w:hAnsi="Arial" w:cs="Arial"/>
        </w:rPr>
        <w:t xml:space="preserve"> poděkoval P. Žákové i celému týmu na ÚV za organizaci výboru. Následně přešel k prezentaci novinek z OECD. Úroveň globálního růstu vidí OECD relativně optimisticky, mělo by docházet k postupnému návratu růstu </w:t>
      </w:r>
      <w:r>
        <w:rPr>
          <w:rFonts w:ascii="Arial" w:hAnsi="Arial" w:cs="Arial"/>
        </w:rPr>
        <w:t xml:space="preserve">na </w:t>
      </w:r>
      <w:r w:rsidR="00506A5B" w:rsidRPr="00506A5B">
        <w:rPr>
          <w:rFonts w:ascii="Arial" w:hAnsi="Arial" w:cs="Arial"/>
        </w:rPr>
        <w:t xml:space="preserve">3,2 procenta </w:t>
      </w:r>
      <w:r>
        <w:rPr>
          <w:rFonts w:ascii="Arial" w:hAnsi="Arial" w:cs="Arial"/>
        </w:rPr>
        <w:t>HDP, v případě zemí OECD by to</w:t>
      </w:r>
      <w:r w:rsidR="00506A5B" w:rsidRPr="00506A5B">
        <w:rPr>
          <w:rFonts w:ascii="Arial" w:hAnsi="Arial" w:cs="Arial"/>
        </w:rPr>
        <w:t xml:space="preserve"> měl být růst kolem 1,3 procenta. Vyspělé země tedy rostou pomaleji ve srovnání s těmi rozvojovými. Inflace bude nadále klesat, nejvýraznější zůstane inflace služeb. Dobrá zpráva je, že se globální ekonomice podařilo absorbovat cenový i energetický šok. OECD se shoduje se současnou českou vládou, že inflaci je třeba krotit menšími výdaji, konsolidací státního rozpočtu a zodpovědnou fiskální politikou. Konsolidace dluhu v rozvojových zemích není stabilní, zatímco v rámci OECD stabilita konsolidace dluhu není problém. Projevuje se stále větší vliv geopolitiky na ekonomiku (reflexe konfliktů v Gaze, na Ukrajině). Rovněž probíhá debata o tz</w:t>
      </w:r>
      <w:r w:rsidR="00EC39C9">
        <w:rPr>
          <w:rFonts w:ascii="Arial" w:hAnsi="Arial" w:cs="Arial"/>
        </w:rPr>
        <w:t>v</w:t>
      </w:r>
      <w:r w:rsidR="00506A5B" w:rsidRPr="00506A5B">
        <w:rPr>
          <w:rFonts w:ascii="Arial" w:hAnsi="Arial" w:cs="Arial"/>
        </w:rPr>
        <w:t xml:space="preserve">. </w:t>
      </w:r>
      <w:proofErr w:type="spellStart"/>
      <w:r w:rsidR="00506A5B" w:rsidRPr="00506A5B">
        <w:rPr>
          <w:rFonts w:ascii="Arial" w:hAnsi="Arial" w:cs="Arial"/>
        </w:rPr>
        <w:t>deriskingu</w:t>
      </w:r>
      <w:proofErr w:type="spellEnd"/>
      <w:r w:rsidR="00506A5B" w:rsidRPr="00506A5B">
        <w:rPr>
          <w:rFonts w:ascii="Arial" w:hAnsi="Arial" w:cs="Arial"/>
        </w:rPr>
        <w:t xml:space="preserve">, případě </w:t>
      </w:r>
      <w:proofErr w:type="spellStart"/>
      <w:r w:rsidR="00506A5B" w:rsidRPr="00506A5B">
        <w:rPr>
          <w:rFonts w:ascii="Arial" w:hAnsi="Arial" w:cs="Arial"/>
        </w:rPr>
        <w:t>decouplingu</w:t>
      </w:r>
      <w:proofErr w:type="spellEnd"/>
      <w:r w:rsidR="00506A5B" w:rsidRPr="00506A5B">
        <w:rPr>
          <w:rFonts w:ascii="Arial" w:hAnsi="Arial" w:cs="Arial"/>
        </w:rPr>
        <w:t xml:space="preserve">, hlavně </w:t>
      </w:r>
      <w:r w:rsidR="00EC39C9">
        <w:rPr>
          <w:rFonts w:ascii="Arial" w:hAnsi="Arial" w:cs="Arial"/>
        </w:rPr>
        <w:t>s</w:t>
      </w:r>
      <w:r w:rsidR="00506A5B" w:rsidRPr="00506A5B">
        <w:rPr>
          <w:rFonts w:ascii="Arial" w:hAnsi="Arial" w:cs="Arial"/>
        </w:rPr>
        <w:t xml:space="preserve"> východní Asi</w:t>
      </w:r>
      <w:r w:rsidR="00EC39C9">
        <w:rPr>
          <w:rFonts w:ascii="Arial" w:hAnsi="Arial" w:cs="Arial"/>
        </w:rPr>
        <w:t>í</w:t>
      </w:r>
      <w:r w:rsidR="00506A5B" w:rsidRPr="00506A5B">
        <w:rPr>
          <w:rFonts w:ascii="Arial" w:hAnsi="Arial" w:cs="Arial"/>
        </w:rPr>
        <w:t xml:space="preserve">. Dochází k přeskupování globální ekonomiky. Stále větší roli hraje i </w:t>
      </w:r>
      <w:proofErr w:type="spellStart"/>
      <w:r w:rsidR="00506A5B" w:rsidRPr="00506A5B">
        <w:rPr>
          <w:rFonts w:ascii="Arial" w:hAnsi="Arial" w:cs="Arial"/>
        </w:rPr>
        <w:t>foresightové</w:t>
      </w:r>
      <w:proofErr w:type="spellEnd"/>
      <w:r w:rsidR="00506A5B" w:rsidRPr="00506A5B">
        <w:rPr>
          <w:rFonts w:ascii="Arial" w:hAnsi="Arial" w:cs="Arial"/>
        </w:rPr>
        <w:t xml:space="preserve"> a dlouhodobé strategické plánování. Důležitá je i otázka nastavení veřejné politiky v EU, například otázka nastavení subvencí pro zelenou tranzici. </w:t>
      </w:r>
    </w:p>
    <w:p w:rsidR="00EC39C9" w:rsidRDefault="00506A5B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06A5B">
        <w:rPr>
          <w:rFonts w:ascii="Arial" w:hAnsi="Arial" w:cs="Arial"/>
        </w:rPr>
        <w:t>Co se týče výhledu OECD pro ČR, v roce 2024 se očekává růst 1,1 procenta HDP. Dlouhodobý růst by měl být kolem 2,4 procenta. Inflace se stabilizovala a očekává se růst reálných mezd. OECD vyda</w:t>
      </w:r>
      <w:r w:rsidR="008C36DA">
        <w:rPr>
          <w:rFonts w:ascii="Arial" w:hAnsi="Arial" w:cs="Arial"/>
        </w:rPr>
        <w:t>lo pro ČR několik doporučení, jako například</w:t>
      </w:r>
      <w:r w:rsidRPr="00506A5B">
        <w:rPr>
          <w:rFonts w:ascii="Arial" w:hAnsi="Arial" w:cs="Arial"/>
        </w:rPr>
        <w:t xml:space="preserve"> fiskální konsolidace, snižování inflace, přesun od zdanění práce ke zdanění nemovitostí a spotřebním daním. Pr</w:t>
      </w:r>
      <w:r w:rsidR="008C36DA">
        <w:rPr>
          <w:rFonts w:ascii="Arial" w:hAnsi="Arial" w:cs="Arial"/>
        </w:rPr>
        <w:t>oblematické je tedy nerovnoměrné</w:t>
      </w:r>
      <w:r w:rsidRPr="00506A5B">
        <w:rPr>
          <w:rFonts w:ascii="Arial" w:hAnsi="Arial" w:cs="Arial"/>
        </w:rPr>
        <w:t xml:space="preserve"> nastavení daňového mixu. Malé příjmy z daní nemovitostí mohou mít dopady na dostupnost bydlení. Investice do nemovitostí suplují absenci většího finančního nebo akciového trhu v Č</w:t>
      </w:r>
      <w:r w:rsidR="00EC39C9">
        <w:rPr>
          <w:rFonts w:ascii="Arial" w:hAnsi="Arial" w:cs="Arial"/>
        </w:rPr>
        <w:t>R</w:t>
      </w:r>
      <w:r w:rsidRPr="00506A5B">
        <w:rPr>
          <w:rFonts w:ascii="Arial" w:hAnsi="Arial" w:cs="Arial"/>
        </w:rPr>
        <w:t xml:space="preserve">. </w:t>
      </w:r>
    </w:p>
    <w:p w:rsidR="00EC39C9" w:rsidRDefault="00506A5B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06A5B">
        <w:rPr>
          <w:rFonts w:ascii="Arial" w:hAnsi="Arial" w:cs="Arial"/>
        </w:rPr>
        <w:t>Mezi další doporučení OECD patří například reforma penzijního systému, reforma vzdělávacího systému. Od Covidu dochází k divergenci Č</w:t>
      </w:r>
      <w:r w:rsidR="00EC39C9">
        <w:rPr>
          <w:rFonts w:ascii="Arial" w:hAnsi="Arial" w:cs="Arial"/>
        </w:rPr>
        <w:t>R</w:t>
      </w:r>
      <w:r w:rsidRPr="00506A5B">
        <w:rPr>
          <w:rFonts w:ascii="Arial" w:hAnsi="Arial" w:cs="Arial"/>
        </w:rPr>
        <w:t xml:space="preserve"> od průměru OECD a</w:t>
      </w:r>
      <w:r w:rsidR="008C36DA">
        <w:rPr>
          <w:rFonts w:ascii="Arial" w:hAnsi="Arial" w:cs="Arial"/>
        </w:rPr>
        <w:t xml:space="preserve"> </w:t>
      </w:r>
      <w:r w:rsidRPr="00506A5B">
        <w:rPr>
          <w:rFonts w:ascii="Arial" w:hAnsi="Arial" w:cs="Arial"/>
        </w:rPr>
        <w:t xml:space="preserve">k výraznější konvergenci </w:t>
      </w:r>
      <w:r w:rsidR="00EC39C9">
        <w:rPr>
          <w:rFonts w:ascii="Arial" w:hAnsi="Arial" w:cs="Arial"/>
        </w:rPr>
        <w:t>mezi státy</w:t>
      </w:r>
      <w:r w:rsidRPr="00506A5B">
        <w:rPr>
          <w:rFonts w:ascii="Arial" w:hAnsi="Arial" w:cs="Arial"/>
        </w:rPr>
        <w:t xml:space="preserve"> střední Evropy. Jako problematický aspekt OECD definovalo i nedostatečnou participaci žen (hlavně matek) na trhu práce. Tento problém se pomalu daří řešit, ale stále je tam velký potenciál ke zlepšení. OECD v rámci projektu PISA, který se zaměřuje na měření dovedností u školáků</w:t>
      </w:r>
      <w:r>
        <w:rPr>
          <w:rFonts w:ascii="Arial" w:hAnsi="Arial" w:cs="Arial"/>
        </w:rPr>
        <w:t>,</w:t>
      </w:r>
      <w:r w:rsidRPr="00506A5B">
        <w:rPr>
          <w:rFonts w:ascii="Arial" w:hAnsi="Arial" w:cs="Arial"/>
        </w:rPr>
        <w:t xml:space="preserve"> identifikoval</w:t>
      </w:r>
      <w:r w:rsidR="008C36DA">
        <w:rPr>
          <w:rFonts w:ascii="Arial" w:hAnsi="Arial" w:cs="Arial"/>
        </w:rPr>
        <w:t>o</w:t>
      </w:r>
      <w:r w:rsidRPr="00506A5B">
        <w:rPr>
          <w:rFonts w:ascii="Arial" w:hAnsi="Arial" w:cs="Arial"/>
        </w:rPr>
        <w:t xml:space="preserve"> trend replikace školních výsledků na základě socioekonomických poměrů v rodině. To může mít dopad na trh práce a vznik vyšších příjmových nerovností. Na základě projektu PISA se ukázal i trend snižování úrovně dovedností u školáků, v případě Česka se jedná o stagnaci nebo pok</w:t>
      </w:r>
      <w:r>
        <w:rPr>
          <w:rFonts w:ascii="Arial" w:hAnsi="Arial" w:cs="Arial"/>
        </w:rPr>
        <w:t>l</w:t>
      </w:r>
      <w:r w:rsidRPr="00506A5B">
        <w:rPr>
          <w:rFonts w:ascii="Arial" w:hAnsi="Arial" w:cs="Arial"/>
        </w:rPr>
        <w:t>es dovedností. Příčinami by mohl být například Covid nebo vliv digitalizace na soustředění a kapacitu učení u dětí. Zajímavým faktem je, že AI dokázala vyřešit PISA</w:t>
      </w:r>
      <w:r w:rsidR="008C36DA">
        <w:rPr>
          <w:rFonts w:ascii="Arial" w:hAnsi="Arial" w:cs="Arial"/>
        </w:rPr>
        <w:t xml:space="preserve"> testy na 100 procent, zatímco </w:t>
      </w:r>
      <w:r w:rsidRPr="00506A5B">
        <w:rPr>
          <w:rFonts w:ascii="Arial" w:hAnsi="Arial" w:cs="Arial"/>
        </w:rPr>
        <w:t xml:space="preserve">u školáků je průměrný výsledek kolem 50 procent. </w:t>
      </w:r>
    </w:p>
    <w:p w:rsidR="00506A5B" w:rsidRDefault="00506A5B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06A5B">
        <w:rPr>
          <w:rFonts w:ascii="Arial" w:hAnsi="Arial" w:cs="Arial"/>
        </w:rPr>
        <w:t>OE</w:t>
      </w:r>
      <w:r w:rsidR="008C36DA">
        <w:rPr>
          <w:rFonts w:ascii="Arial" w:hAnsi="Arial" w:cs="Arial"/>
        </w:rPr>
        <w:t>CD vnímá v Č</w:t>
      </w:r>
      <w:r w:rsidR="00EC39C9">
        <w:rPr>
          <w:rFonts w:ascii="Arial" w:hAnsi="Arial" w:cs="Arial"/>
        </w:rPr>
        <w:t>R</w:t>
      </w:r>
      <w:r w:rsidR="008C36DA">
        <w:rPr>
          <w:rFonts w:ascii="Arial" w:hAnsi="Arial" w:cs="Arial"/>
        </w:rPr>
        <w:t xml:space="preserve"> pozitivně</w:t>
      </w:r>
      <w:r w:rsidRPr="00506A5B">
        <w:rPr>
          <w:rFonts w:ascii="Arial" w:hAnsi="Arial" w:cs="Arial"/>
        </w:rPr>
        <w:t xml:space="preserve"> zvládnutí přílivu ukrajinských občanů na trh práce. Prokázalo se, že trh práce je dostatečně silný a dokázal absorbovat velké množství lidí. Naopak OECD kritizuje českou migrační politiku, která je primárně zaměřena na nekvalifikovanou nebo méně kvalifikovanou pracovní sílu. Rovněž OECD vnímá </w:t>
      </w:r>
      <w:r w:rsidR="008C36DA">
        <w:rPr>
          <w:rFonts w:ascii="Arial" w:hAnsi="Arial" w:cs="Arial"/>
        </w:rPr>
        <w:t xml:space="preserve">českou </w:t>
      </w:r>
      <w:r w:rsidRPr="00506A5B">
        <w:rPr>
          <w:rFonts w:ascii="Arial" w:hAnsi="Arial" w:cs="Arial"/>
        </w:rPr>
        <w:t>klimatickou politiku jako nedostatečně ambiciózní a vidí potenciál pro zlepšení energetické účinnosti (například zateplování budov atd.). Co se týká nepřímých zahraničních investic napojených na sektor malých a středních podniků, v Č</w:t>
      </w:r>
      <w:r w:rsidR="00EC39C9">
        <w:rPr>
          <w:rFonts w:ascii="Arial" w:hAnsi="Arial" w:cs="Arial"/>
        </w:rPr>
        <w:t>R</w:t>
      </w:r>
      <w:r w:rsidRPr="00506A5B">
        <w:rPr>
          <w:rFonts w:ascii="Arial" w:hAnsi="Arial" w:cs="Arial"/>
        </w:rPr>
        <w:t xml:space="preserve"> je velké množství mikropodniků, avšak velká část přidané hodnoty ekonomiky je pokryta velkými podniky. Malé a střední podniky lze považovat za úzké hrdlo mezd v ekonomice, jejich nízká přidaná hodnota </w:t>
      </w:r>
      <w:r w:rsidRPr="00506A5B">
        <w:rPr>
          <w:rFonts w:ascii="Arial" w:hAnsi="Arial" w:cs="Arial"/>
        </w:rPr>
        <w:lastRenderedPageBreak/>
        <w:t>vede ke snížení kapacity vyplácet vyšší mzdy. Rovněž je problém, že malé a střední podniky neumějí dostatečně expandovat.</w:t>
      </w:r>
    </w:p>
    <w:p w:rsidR="00506A5B" w:rsidRPr="00506A5B" w:rsidRDefault="008C36DA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A. Chmela</w:t>
      </w:r>
      <w:r w:rsidR="00506A5B" w:rsidRPr="00590348">
        <w:rPr>
          <w:rFonts w:ascii="Arial" w:hAnsi="Arial" w:cs="Arial"/>
          <w:b/>
        </w:rPr>
        <w:t>ř</w:t>
      </w:r>
      <w:r w:rsidR="00506A5B" w:rsidRPr="00506A5B">
        <w:rPr>
          <w:rFonts w:ascii="Arial" w:hAnsi="Arial" w:cs="Arial"/>
        </w:rPr>
        <w:t xml:space="preserve"> pokračoval s informacemi o Hospodářském přehledu OECD na rok 2025. Tento přehled by měl být zaměřen hlavně na vzdělání, zvyšování dovedností školáků a zlepšení pozice žen na trhu práce. Vede se kritická debata o tom, jak západní svět zvládá zelenou a digitální transformaci. Ukazuje se, že systémoví rivalové to mohou zvládat lépe. Problematickým je také fakt, že západní svět ztrácí kredibilitu v prostředí globálního jihu. Je nutná celková reflexe zmiňovaných problémových aspektů.</w:t>
      </w:r>
    </w:p>
    <w:p w:rsidR="00506A5B" w:rsidRPr="00506A5B" w:rsidRDefault="00EC39C9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EC39C9">
        <w:rPr>
          <w:rFonts w:ascii="Arial" w:hAnsi="Arial" w:cs="Arial"/>
          <w:bCs/>
        </w:rPr>
        <w:t xml:space="preserve">Na závěr úvodního vystoupení </w:t>
      </w:r>
      <w:r w:rsidR="00590348" w:rsidRPr="00EC39C9">
        <w:rPr>
          <w:rFonts w:ascii="Arial" w:hAnsi="Arial" w:cs="Arial"/>
          <w:bCs/>
        </w:rPr>
        <w:t>A. Chmela</w:t>
      </w:r>
      <w:r w:rsidR="00506A5B" w:rsidRPr="00EC39C9">
        <w:rPr>
          <w:rFonts w:ascii="Arial" w:hAnsi="Arial" w:cs="Arial"/>
          <w:bCs/>
        </w:rPr>
        <w:t>ř</w:t>
      </w:r>
      <w:r w:rsidR="00506A5B" w:rsidRPr="00506A5B">
        <w:rPr>
          <w:rFonts w:ascii="Arial" w:hAnsi="Arial" w:cs="Arial"/>
        </w:rPr>
        <w:t xml:space="preserve"> navrh</w:t>
      </w:r>
      <w:r>
        <w:rPr>
          <w:rFonts w:ascii="Arial" w:hAnsi="Arial" w:cs="Arial"/>
        </w:rPr>
        <w:t>l</w:t>
      </w:r>
      <w:r w:rsidR="00506A5B" w:rsidRPr="00506A5B">
        <w:rPr>
          <w:rFonts w:ascii="Arial" w:hAnsi="Arial" w:cs="Arial"/>
        </w:rPr>
        <w:t xml:space="preserve">, že na </w:t>
      </w:r>
      <w:r>
        <w:rPr>
          <w:rFonts w:ascii="Arial" w:hAnsi="Arial" w:cs="Arial"/>
        </w:rPr>
        <w:t>příštím zasedání</w:t>
      </w:r>
      <w:r w:rsidR="00506A5B" w:rsidRPr="00506A5B">
        <w:rPr>
          <w:rFonts w:ascii="Arial" w:hAnsi="Arial" w:cs="Arial"/>
        </w:rPr>
        <w:t xml:space="preserve"> výboru by se mohl zaměřit na pár klíčových oblastí a ty podrobněji prodiskutovat.</w:t>
      </w:r>
    </w:p>
    <w:p w:rsidR="00506A5B" w:rsidRPr="00506A5B" w:rsidRDefault="00506A5B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P. Žáková</w:t>
      </w:r>
      <w:r w:rsidRPr="00506A5B">
        <w:rPr>
          <w:rFonts w:ascii="Arial" w:hAnsi="Arial" w:cs="Arial"/>
        </w:rPr>
        <w:t xml:space="preserve"> poděkovala za zajímavé informace o novinkách z OECD. Doplnila</w:t>
      </w:r>
      <w:r w:rsidR="005F6141">
        <w:rPr>
          <w:rFonts w:ascii="Arial" w:hAnsi="Arial" w:cs="Arial"/>
        </w:rPr>
        <w:t xml:space="preserve">, že tématům identifikovaným OECD se věnuje i zpráva ESPAS  </w:t>
      </w:r>
      <w:proofErr w:type="spellStart"/>
      <w:r w:rsidR="005F6141" w:rsidRPr="00506A5B">
        <w:rPr>
          <w:rFonts w:ascii="Arial" w:hAnsi="Arial" w:cs="Arial"/>
        </w:rPr>
        <w:t>Choosing</w:t>
      </w:r>
      <w:proofErr w:type="spellEnd"/>
      <w:r w:rsidR="005F6141" w:rsidRPr="00506A5B">
        <w:rPr>
          <w:rFonts w:ascii="Arial" w:hAnsi="Arial" w:cs="Arial"/>
        </w:rPr>
        <w:t xml:space="preserve"> </w:t>
      </w:r>
      <w:proofErr w:type="spellStart"/>
      <w:r w:rsidR="005F6141" w:rsidRPr="00506A5B">
        <w:rPr>
          <w:rFonts w:ascii="Arial" w:hAnsi="Arial" w:cs="Arial"/>
        </w:rPr>
        <w:t>Europe's</w:t>
      </w:r>
      <w:proofErr w:type="spellEnd"/>
      <w:r w:rsidR="005F6141" w:rsidRPr="00506A5B">
        <w:rPr>
          <w:rFonts w:ascii="Arial" w:hAnsi="Arial" w:cs="Arial"/>
        </w:rPr>
        <w:t xml:space="preserve"> </w:t>
      </w:r>
      <w:proofErr w:type="spellStart"/>
      <w:r w:rsidR="005F6141" w:rsidRPr="00506A5B">
        <w:rPr>
          <w:rFonts w:ascii="Arial" w:hAnsi="Arial" w:cs="Arial"/>
        </w:rPr>
        <w:t>Future</w:t>
      </w:r>
      <w:proofErr w:type="spellEnd"/>
      <w:r w:rsidR="005F6141">
        <w:rPr>
          <w:rFonts w:ascii="Arial" w:hAnsi="Arial" w:cs="Arial"/>
        </w:rPr>
        <w:t xml:space="preserve">, např. pokud jde o dostupnost bydlení (kde ČR figuruje na prvním místě co do zvýšení nákladů na bydlení v posledních letech)  nebo potřebu zvýšit participaci žen na trhu práce (a kompenzovat tak úbytek lidí v produktivním věku do roku 2040). </w:t>
      </w:r>
    </w:p>
    <w:p w:rsidR="00506A5B" w:rsidRPr="00506A5B" w:rsidRDefault="00506A5B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J. Simonová</w:t>
      </w:r>
      <w:r w:rsidRPr="00506A5B">
        <w:rPr>
          <w:rFonts w:ascii="Arial" w:hAnsi="Arial" w:cs="Arial"/>
        </w:rPr>
        <w:t xml:space="preserve"> položila otázku, zda by bylo možné dozvědět se více o srovnání daňových politik v</w:t>
      </w:r>
      <w:r w:rsidR="00F12CCF">
        <w:rPr>
          <w:rFonts w:ascii="Arial" w:hAnsi="Arial" w:cs="Arial"/>
        </w:rPr>
        <w:t> </w:t>
      </w:r>
      <w:r w:rsidRPr="00506A5B">
        <w:rPr>
          <w:rFonts w:ascii="Arial" w:hAnsi="Arial" w:cs="Arial"/>
        </w:rPr>
        <w:t xml:space="preserve">rámci zemí OECD a odkrýt přehledy přeshraničních finančních toků. Vyjádřila svůj názor, že zvyšováním daní z nemovitostí </w:t>
      </w:r>
      <w:r w:rsidR="00F12CCF">
        <w:rPr>
          <w:rFonts w:ascii="Arial" w:hAnsi="Arial" w:cs="Arial"/>
        </w:rPr>
        <w:t>a</w:t>
      </w:r>
      <w:r w:rsidRPr="00506A5B">
        <w:rPr>
          <w:rFonts w:ascii="Arial" w:hAnsi="Arial" w:cs="Arial"/>
        </w:rPr>
        <w:t xml:space="preserve"> </w:t>
      </w:r>
      <w:r w:rsidR="00F12CCF">
        <w:rPr>
          <w:rFonts w:ascii="Arial" w:hAnsi="Arial" w:cs="Arial"/>
        </w:rPr>
        <w:t>oslabováním</w:t>
      </w:r>
      <w:r w:rsidRPr="00506A5B">
        <w:rPr>
          <w:rFonts w:ascii="Arial" w:hAnsi="Arial" w:cs="Arial"/>
        </w:rPr>
        <w:t xml:space="preserve"> příjmů důchodců se </w:t>
      </w:r>
      <w:r w:rsidR="00F12CCF">
        <w:rPr>
          <w:rFonts w:ascii="Arial" w:hAnsi="Arial" w:cs="Arial"/>
        </w:rPr>
        <w:t>hospodářský růst v ČR nastartovat nepodaří</w:t>
      </w:r>
      <w:r w:rsidRPr="00506A5B">
        <w:rPr>
          <w:rFonts w:ascii="Arial" w:hAnsi="Arial" w:cs="Arial"/>
        </w:rPr>
        <w:t xml:space="preserve">. Je nutné se na to dívat jako na celek, </w:t>
      </w:r>
      <w:r w:rsidR="00F12CCF">
        <w:rPr>
          <w:rFonts w:ascii="Arial" w:hAnsi="Arial" w:cs="Arial"/>
        </w:rPr>
        <w:t>kdy domácí poptávka je důležitou složkou HDP</w:t>
      </w:r>
      <w:r w:rsidRPr="00506A5B">
        <w:rPr>
          <w:rFonts w:ascii="Arial" w:hAnsi="Arial" w:cs="Arial"/>
        </w:rPr>
        <w:t>. Jako problematické vidí například nezdanění velkých zahraničních firem a</w:t>
      </w:r>
      <w:r w:rsidR="00F12CCF">
        <w:rPr>
          <w:rFonts w:ascii="Arial" w:hAnsi="Arial" w:cs="Arial"/>
        </w:rPr>
        <w:t> </w:t>
      </w:r>
      <w:r w:rsidRPr="00506A5B">
        <w:rPr>
          <w:rFonts w:ascii="Arial" w:hAnsi="Arial" w:cs="Arial"/>
        </w:rPr>
        <w:t>neprogresivnost daní</w:t>
      </w:r>
      <w:r w:rsidR="00F12CCF">
        <w:rPr>
          <w:rFonts w:ascii="Arial" w:hAnsi="Arial" w:cs="Arial"/>
        </w:rPr>
        <w:t xml:space="preserve"> v ČR</w:t>
      </w:r>
      <w:r w:rsidRPr="00506A5B">
        <w:rPr>
          <w:rFonts w:ascii="Arial" w:hAnsi="Arial" w:cs="Arial"/>
        </w:rPr>
        <w:t>.</w:t>
      </w:r>
    </w:p>
    <w:p w:rsidR="00506A5B" w:rsidRPr="00506A5B" w:rsidRDefault="00590348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A. Chmela</w:t>
      </w:r>
      <w:r w:rsidR="00506A5B" w:rsidRPr="00590348">
        <w:rPr>
          <w:rFonts w:ascii="Arial" w:hAnsi="Arial" w:cs="Arial"/>
          <w:b/>
        </w:rPr>
        <w:t>ř</w:t>
      </w:r>
      <w:r w:rsidR="00506A5B" w:rsidRPr="00506A5B">
        <w:rPr>
          <w:rFonts w:ascii="Arial" w:hAnsi="Arial" w:cs="Arial"/>
        </w:rPr>
        <w:t xml:space="preserve"> souhlasil s tím, že jedno opatření nelze aplikovat ve vakuu, je nutné, aby se k věcem přistupovalo v širším kontextu. Problémem daňové politiky v Č</w:t>
      </w:r>
      <w:r w:rsidR="00F12CCF">
        <w:rPr>
          <w:rFonts w:ascii="Arial" w:hAnsi="Arial" w:cs="Arial"/>
        </w:rPr>
        <w:t>R</w:t>
      </w:r>
      <w:r w:rsidR="00506A5B" w:rsidRPr="00506A5B">
        <w:rPr>
          <w:rFonts w:ascii="Arial" w:hAnsi="Arial" w:cs="Arial"/>
        </w:rPr>
        <w:t xml:space="preserve"> je, že málo využívá diverzifikace daňových zdrojů. Co se týče deficitu primární bilance příjmů, OECD má v DNA kapitálovou liberalizaci. Na závěr shrnul, že OECD nedává obecná řešení, jen nabízí nástroje</w:t>
      </w:r>
      <w:r w:rsidR="00F12CCF">
        <w:rPr>
          <w:rFonts w:ascii="Arial" w:hAnsi="Arial" w:cs="Arial"/>
        </w:rPr>
        <w:t>,</w:t>
      </w:r>
      <w:r w:rsidR="00506A5B" w:rsidRPr="00506A5B">
        <w:rPr>
          <w:rFonts w:ascii="Arial" w:hAnsi="Arial" w:cs="Arial"/>
        </w:rPr>
        <w:t xml:space="preserve"> jak dané problémy řešit. OECD nemá makroekonomickou </w:t>
      </w:r>
      <w:proofErr w:type="spellStart"/>
      <w:r w:rsidR="00506A5B" w:rsidRPr="00506A5B">
        <w:rPr>
          <w:rFonts w:ascii="Arial" w:hAnsi="Arial" w:cs="Arial"/>
        </w:rPr>
        <w:t>kondicionalitu</w:t>
      </w:r>
      <w:proofErr w:type="spellEnd"/>
      <w:r>
        <w:rPr>
          <w:rFonts w:ascii="Arial" w:hAnsi="Arial" w:cs="Arial"/>
        </w:rPr>
        <w:t>,</w:t>
      </w:r>
      <w:r w:rsidR="00506A5B" w:rsidRPr="00506A5B">
        <w:rPr>
          <w:rFonts w:ascii="Arial" w:hAnsi="Arial" w:cs="Arial"/>
        </w:rPr>
        <w:t xml:space="preserve"> na rozdíl od EU. Doporučení OECD se ale většinově shodují se specifickými doporučeními Rady EU, která už makroekonomickou </w:t>
      </w:r>
      <w:proofErr w:type="spellStart"/>
      <w:r w:rsidR="00506A5B" w:rsidRPr="00506A5B">
        <w:rPr>
          <w:rFonts w:ascii="Arial" w:hAnsi="Arial" w:cs="Arial"/>
        </w:rPr>
        <w:t>kondicionalitu</w:t>
      </w:r>
      <w:proofErr w:type="spellEnd"/>
      <w:r w:rsidR="00506A5B" w:rsidRPr="00506A5B">
        <w:rPr>
          <w:rFonts w:ascii="Arial" w:hAnsi="Arial" w:cs="Arial"/>
        </w:rPr>
        <w:t xml:space="preserve"> má.</w:t>
      </w:r>
    </w:p>
    <w:p w:rsidR="00506A5B" w:rsidRDefault="00590348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P. Žáková</w:t>
      </w:r>
      <w:r>
        <w:rPr>
          <w:rFonts w:ascii="Arial" w:hAnsi="Arial" w:cs="Arial"/>
        </w:rPr>
        <w:t xml:space="preserve"> poděkovala A. Chmela</w:t>
      </w:r>
      <w:r w:rsidR="00506A5B" w:rsidRPr="00506A5B">
        <w:rPr>
          <w:rFonts w:ascii="Arial" w:hAnsi="Arial" w:cs="Arial"/>
        </w:rPr>
        <w:t>řovi za odpověď a navrhla, že na příštím jednání výboru by se mohly vybrat oblasti, které jsou v doporučeních OECD a zároveň ve specifických doporučeních Rady</w:t>
      </w:r>
      <w:r w:rsidR="00F12CCF">
        <w:rPr>
          <w:rFonts w:ascii="Arial" w:hAnsi="Arial" w:cs="Arial"/>
        </w:rPr>
        <w:t xml:space="preserve"> EU</w:t>
      </w:r>
      <w:r w:rsidR="00506A5B" w:rsidRPr="00506A5B">
        <w:rPr>
          <w:rFonts w:ascii="Arial" w:hAnsi="Arial" w:cs="Arial"/>
        </w:rPr>
        <w:t>. Letošní specifická doporučení Evropská komise zveřejní 19. června. Rovněž je možnost zorganizovat anketu, o která témata by byl největší zájem.</w:t>
      </w:r>
    </w:p>
    <w:p w:rsidR="0080300A" w:rsidRDefault="006D54AE" w:rsidP="00510A2E">
      <w:pPr>
        <w:spacing w:before="240" w:after="12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Bod programu 7</w:t>
      </w:r>
      <w:r w:rsidR="0080300A" w:rsidRPr="00B341C1">
        <w:rPr>
          <w:rFonts w:ascii="Arial" w:hAnsi="Arial" w:cs="Arial"/>
          <w:b/>
          <w:u w:val="single"/>
        </w:rPr>
        <w:t xml:space="preserve">) </w:t>
      </w:r>
      <w:r w:rsidR="00995C9F" w:rsidRPr="00995C9F">
        <w:rPr>
          <w:rFonts w:ascii="Arial" w:hAnsi="Arial" w:cs="Arial"/>
          <w:b/>
          <w:u w:val="single"/>
        </w:rPr>
        <w:t>Změny v evropském semestru v návaznosti na legislativní změny</w:t>
      </w:r>
    </w:p>
    <w:p w:rsidR="00506A5B" w:rsidRPr="00506A5B" w:rsidRDefault="00506A5B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V. Klusák</w:t>
      </w:r>
      <w:r w:rsidRPr="00506A5B">
        <w:rPr>
          <w:rFonts w:ascii="Arial" w:hAnsi="Arial" w:cs="Arial"/>
        </w:rPr>
        <w:t xml:space="preserve"> informoval, že bude sdílet prezentace z výboru a také zápis z celého jednání spolu s</w:t>
      </w:r>
      <w:r w:rsidR="00F12CCF">
        <w:rPr>
          <w:rFonts w:ascii="Arial" w:hAnsi="Arial" w:cs="Arial"/>
        </w:rPr>
        <w:t> </w:t>
      </w:r>
      <w:r w:rsidRPr="00506A5B">
        <w:rPr>
          <w:rFonts w:ascii="Arial" w:hAnsi="Arial" w:cs="Arial"/>
        </w:rPr>
        <w:t>odkazy na Databázi strategií, DNSH a TSI projek</w:t>
      </w:r>
      <w:r w:rsidR="00590348">
        <w:rPr>
          <w:rFonts w:ascii="Arial" w:hAnsi="Arial" w:cs="Arial"/>
        </w:rPr>
        <w:t>t</w:t>
      </w:r>
      <w:r w:rsidRPr="00506A5B">
        <w:rPr>
          <w:rFonts w:ascii="Arial" w:hAnsi="Arial" w:cs="Arial"/>
        </w:rPr>
        <w:t xml:space="preserve">y. Následně </w:t>
      </w:r>
      <w:r w:rsidR="00F12CCF">
        <w:rPr>
          <w:rFonts w:ascii="Arial" w:hAnsi="Arial" w:cs="Arial"/>
        </w:rPr>
        <w:t xml:space="preserve">uvedl </w:t>
      </w:r>
      <w:r w:rsidRPr="00506A5B">
        <w:rPr>
          <w:rFonts w:ascii="Arial" w:hAnsi="Arial" w:cs="Arial"/>
        </w:rPr>
        <w:t>několik informací k bodu o</w:t>
      </w:r>
      <w:r w:rsidR="00F12CCF">
        <w:rPr>
          <w:rFonts w:ascii="Arial" w:hAnsi="Arial" w:cs="Arial"/>
        </w:rPr>
        <w:t> </w:t>
      </w:r>
      <w:r w:rsidRPr="00506A5B">
        <w:rPr>
          <w:rFonts w:ascii="Arial" w:hAnsi="Arial" w:cs="Arial"/>
        </w:rPr>
        <w:t xml:space="preserve">změnách v evropském semestru v návaznosti na legislativní změny. V oblasti správy ekonomických záležitostí došlo k nejvýznamnější změně od etablování evropského semestru po finanční </w:t>
      </w:r>
      <w:r w:rsidR="00F12CCF">
        <w:rPr>
          <w:rFonts w:ascii="Arial" w:hAnsi="Arial" w:cs="Arial"/>
        </w:rPr>
        <w:t xml:space="preserve">a hospodářské </w:t>
      </w:r>
      <w:r w:rsidRPr="00506A5B">
        <w:rPr>
          <w:rFonts w:ascii="Arial" w:hAnsi="Arial" w:cs="Arial"/>
        </w:rPr>
        <w:t xml:space="preserve">krizi </w:t>
      </w:r>
      <w:r w:rsidR="00F12CCF">
        <w:rPr>
          <w:rFonts w:ascii="Arial" w:hAnsi="Arial" w:cs="Arial"/>
        </w:rPr>
        <w:t>po</w:t>
      </w:r>
      <w:r w:rsidRPr="00506A5B">
        <w:rPr>
          <w:rFonts w:ascii="Arial" w:hAnsi="Arial" w:cs="Arial"/>
        </w:rPr>
        <w:t xml:space="preserve"> roce 2008. Došlo ke změně legislativy, konkrétně se změnila dvě nařízení</w:t>
      </w:r>
      <w:r w:rsidR="00590348">
        <w:rPr>
          <w:rFonts w:ascii="Arial" w:hAnsi="Arial" w:cs="Arial"/>
        </w:rPr>
        <w:t xml:space="preserve"> a</w:t>
      </w:r>
      <w:r w:rsidRPr="00506A5B">
        <w:rPr>
          <w:rFonts w:ascii="Arial" w:hAnsi="Arial" w:cs="Arial"/>
        </w:rPr>
        <w:t xml:space="preserve"> jedna směrnice. Letos byl vydán poslední </w:t>
      </w:r>
      <w:r w:rsidR="00F12CCF">
        <w:rPr>
          <w:rFonts w:ascii="Arial" w:hAnsi="Arial" w:cs="Arial"/>
        </w:rPr>
        <w:t>z každoročních n</w:t>
      </w:r>
      <w:r w:rsidRPr="00506A5B">
        <w:rPr>
          <w:rFonts w:ascii="Arial" w:hAnsi="Arial" w:cs="Arial"/>
        </w:rPr>
        <w:t>árodní</w:t>
      </w:r>
      <w:r w:rsidR="00F12CCF">
        <w:rPr>
          <w:rFonts w:ascii="Arial" w:hAnsi="Arial" w:cs="Arial"/>
        </w:rPr>
        <w:t>ch</w:t>
      </w:r>
      <w:r w:rsidRPr="00506A5B">
        <w:rPr>
          <w:rFonts w:ascii="Arial" w:hAnsi="Arial" w:cs="Arial"/>
        </w:rPr>
        <w:t xml:space="preserve"> program</w:t>
      </w:r>
      <w:r w:rsidR="00F12CCF">
        <w:rPr>
          <w:rFonts w:ascii="Arial" w:hAnsi="Arial" w:cs="Arial"/>
        </w:rPr>
        <w:t>ů</w:t>
      </w:r>
      <w:r w:rsidRPr="00506A5B">
        <w:rPr>
          <w:rFonts w:ascii="Arial" w:hAnsi="Arial" w:cs="Arial"/>
        </w:rPr>
        <w:t xml:space="preserve"> reforem, který má b</w:t>
      </w:r>
      <w:r w:rsidR="00F12CCF">
        <w:rPr>
          <w:rFonts w:ascii="Arial" w:hAnsi="Arial" w:cs="Arial"/>
        </w:rPr>
        <w:t>ude</w:t>
      </w:r>
      <w:r w:rsidRPr="00506A5B">
        <w:rPr>
          <w:rFonts w:ascii="Arial" w:hAnsi="Arial" w:cs="Arial"/>
        </w:rPr>
        <w:t xml:space="preserve"> nahrazen střednědobým fiskálně-strukturálním plánem (FSP). FSP bude primárně </w:t>
      </w:r>
      <w:r w:rsidRPr="00506A5B">
        <w:rPr>
          <w:rFonts w:ascii="Arial" w:hAnsi="Arial" w:cs="Arial"/>
        </w:rPr>
        <w:lastRenderedPageBreak/>
        <w:t xml:space="preserve">zaměřen na plnění fiskálních cílů na období 4–7 let. Důležitým aspektem FSP bude i popis klíčových reforem a investic a nastínění dráhy čistých </w:t>
      </w:r>
      <w:r w:rsidR="00A22D3A">
        <w:rPr>
          <w:rFonts w:ascii="Arial" w:hAnsi="Arial" w:cs="Arial"/>
        </w:rPr>
        <w:t xml:space="preserve">veřejných </w:t>
      </w:r>
      <w:r w:rsidRPr="00506A5B">
        <w:rPr>
          <w:rFonts w:ascii="Arial" w:hAnsi="Arial" w:cs="Arial"/>
        </w:rPr>
        <w:t>výdajů. Cílem má být stlačení schodků rozpočtů jednotl</w:t>
      </w:r>
      <w:r w:rsidR="00590348">
        <w:rPr>
          <w:rFonts w:ascii="Arial" w:hAnsi="Arial" w:cs="Arial"/>
        </w:rPr>
        <w:t>ivých členských států. Postup př</w:t>
      </w:r>
      <w:r w:rsidRPr="00506A5B">
        <w:rPr>
          <w:rFonts w:ascii="Arial" w:hAnsi="Arial" w:cs="Arial"/>
        </w:rPr>
        <w:t>ípravy, posuzování a schválení FSP je velmi podobný mechanismu, který se již uplatňuje v rámci Nástroje pro oživení a odolnost. Členské stá</w:t>
      </w:r>
      <w:r w:rsidR="00590348">
        <w:rPr>
          <w:rFonts w:ascii="Arial" w:hAnsi="Arial" w:cs="Arial"/>
        </w:rPr>
        <w:t>ty navrhnou FSP, Evropská komise</w:t>
      </w:r>
      <w:r w:rsidRPr="00506A5B">
        <w:rPr>
          <w:rFonts w:ascii="Arial" w:hAnsi="Arial" w:cs="Arial"/>
        </w:rPr>
        <w:t xml:space="preserve"> je musí odsouhlasit a následně Rada </w:t>
      </w:r>
      <w:r w:rsidR="00A22D3A">
        <w:rPr>
          <w:rFonts w:ascii="Arial" w:hAnsi="Arial" w:cs="Arial"/>
        </w:rPr>
        <w:t>EU klíčové prvky schvaluje</w:t>
      </w:r>
      <w:r w:rsidRPr="00506A5B">
        <w:rPr>
          <w:rFonts w:ascii="Arial" w:hAnsi="Arial" w:cs="Arial"/>
        </w:rPr>
        <w:t>. V. Klusák doplnil, že v případě jakýchkoli</w:t>
      </w:r>
      <w:r w:rsidR="00590348">
        <w:rPr>
          <w:rFonts w:ascii="Arial" w:hAnsi="Arial" w:cs="Arial"/>
        </w:rPr>
        <w:t>v</w:t>
      </w:r>
      <w:r w:rsidRPr="00506A5B">
        <w:rPr>
          <w:rFonts w:ascii="Arial" w:hAnsi="Arial" w:cs="Arial"/>
        </w:rPr>
        <w:t xml:space="preserve"> otázek je možné se na něj, případně na ostatní kolegy z</w:t>
      </w:r>
      <w:r w:rsidR="00A22D3A">
        <w:rPr>
          <w:rFonts w:ascii="Arial" w:hAnsi="Arial" w:cs="Arial"/>
        </w:rPr>
        <w:t> </w:t>
      </w:r>
      <w:r w:rsidRPr="00506A5B">
        <w:rPr>
          <w:rFonts w:ascii="Arial" w:hAnsi="Arial" w:cs="Arial"/>
        </w:rPr>
        <w:t>oddělení hospodářských politik EU obrátit po jednání výboru.</w:t>
      </w:r>
    </w:p>
    <w:p w:rsidR="00506A5B" w:rsidRPr="00506A5B" w:rsidRDefault="00506A5B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L. Sršňová</w:t>
      </w:r>
      <w:r w:rsidRPr="00506A5B">
        <w:rPr>
          <w:rFonts w:ascii="Arial" w:hAnsi="Arial" w:cs="Arial"/>
        </w:rPr>
        <w:t xml:space="preserve"> se </w:t>
      </w:r>
      <w:r w:rsidR="00A22D3A">
        <w:rPr>
          <w:rFonts w:ascii="Arial" w:hAnsi="Arial" w:cs="Arial"/>
        </w:rPr>
        <w:t>dotázala</w:t>
      </w:r>
      <w:r w:rsidRPr="00506A5B">
        <w:rPr>
          <w:rFonts w:ascii="Arial" w:hAnsi="Arial" w:cs="Arial"/>
        </w:rPr>
        <w:t xml:space="preserve"> o termín, kdy bude návrh FSP </w:t>
      </w:r>
      <w:r w:rsidR="00A22D3A">
        <w:rPr>
          <w:rFonts w:ascii="Arial" w:hAnsi="Arial" w:cs="Arial"/>
        </w:rPr>
        <w:t>poskytnut ministerstvům</w:t>
      </w:r>
      <w:r w:rsidRPr="00506A5B">
        <w:rPr>
          <w:rFonts w:ascii="Arial" w:hAnsi="Arial" w:cs="Arial"/>
        </w:rPr>
        <w:t xml:space="preserve"> k připomínkám.</w:t>
      </w:r>
    </w:p>
    <w:p w:rsidR="00462510" w:rsidRPr="004B3A06" w:rsidRDefault="00506A5B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V. Klusák</w:t>
      </w:r>
      <w:r w:rsidRPr="00506A5B">
        <w:rPr>
          <w:rFonts w:ascii="Arial" w:hAnsi="Arial" w:cs="Arial"/>
        </w:rPr>
        <w:t xml:space="preserve"> reagoval s informací, že nová legislativa k reformě správy ekonomických záležitostí je schválena a </w:t>
      </w:r>
      <w:r w:rsidR="00A22D3A">
        <w:rPr>
          <w:rFonts w:ascii="Arial" w:hAnsi="Arial" w:cs="Arial"/>
        </w:rPr>
        <w:t xml:space="preserve">do </w:t>
      </w:r>
      <w:r w:rsidRPr="00506A5B">
        <w:rPr>
          <w:rFonts w:ascii="Arial" w:hAnsi="Arial" w:cs="Arial"/>
        </w:rPr>
        <w:t>21. č</w:t>
      </w:r>
      <w:r w:rsidR="00590348">
        <w:rPr>
          <w:rFonts w:ascii="Arial" w:hAnsi="Arial" w:cs="Arial"/>
        </w:rPr>
        <w:t xml:space="preserve">ervna Evropská komise </w:t>
      </w:r>
      <w:r>
        <w:rPr>
          <w:rFonts w:ascii="Arial" w:hAnsi="Arial" w:cs="Arial"/>
        </w:rPr>
        <w:t xml:space="preserve">zveřejní </w:t>
      </w:r>
      <w:r w:rsidR="00A22D3A">
        <w:rPr>
          <w:rFonts w:ascii="Arial" w:hAnsi="Arial" w:cs="Arial"/>
        </w:rPr>
        <w:t>instrukce</w:t>
      </w:r>
      <w:r w:rsidRPr="00506A5B">
        <w:rPr>
          <w:rFonts w:ascii="Arial" w:hAnsi="Arial" w:cs="Arial"/>
        </w:rPr>
        <w:t xml:space="preserve"> pro přípravu FSP. Příprava FSP by měla probíhat během léta. 20</w:t>
      </w:r>
      <w:r w:rsidR="00590348">
        <w:rPr>
          <w:rFonts w:ascii="Arial" w:hAnsi="Arial" w:cs="Arial"/>
        </w:rPr>
        <w:t>. září je následně termín pro členské státy</w:t>
      </w:r>
      <w:r w:rsidRPr="00506A5B">
        <w:rPr>
          <w:rFonts w:ascii="Arial" w:hAnsi="Arial" w:cs="Arial"/>
        </w:rPr>
        <w:t xml:space="preserve"> pro odevzdání FSP</w:t>
      </w:r>
      <w:r w:rsidR="00A22D3A">
        <w:rPr>
          <w:rFonts w:ascii="Arial" w:hAnsi="Arial" w:cs="Arial"/>
        </w:rPr>
        <w:t xml:space="preserve"> Evropské komisi</w:t>
      </w:r>
      <w:r w:rsidRPr="00506A5B">
        <w:rPr>
          <w:rFonts w:ascii="Arial" w:hAnsi="Arial" w:cs="Arial"/>
        </w:rPr>
        <w:t>.</w:t>
      </w:r>
      <w:r w:rsidR="00462510">
        <w:rPr>
          <w:rFonts w:ascii="Arial" w:hAnsi="Arial" w:cs="Arial"/>
        </w:rPr>
        <w:t xml:space="preserve"> </w:t>
      </w:r>
      <w:r w:rsidR="00A22D3A">
        <w:rPr>
          <w:rFonts w:ascii="Arial" w:hAnsi="Arial" w:cs="Arial"/>
        </w:rPr>
        <w:t>Tento termín může být o nízké jednotky týdnů prodloužen.</w:t>
      </w:r>
    </w:p>
    <w:p w:rsidR="0080300A" w:rsidRPr="0080300A" w:rsidRDefault="006D54AE" w:rsidP="00510A2E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Bod programu 8</w:t>
      </w:r>
      <w:r w:rsidR="0080300A" w:rsidRPr="0080300A">
        <w:rPr>
          <w:rFonts w:ascii="Arial" w:hAnsi="Arial" w:cs="Arial"/>
          <w:b/>
          <w:u w:val="single"/>
        </w:rPr>
        <w:t>) Závěr</w:t>
      </w:r>
    </w:p>
    <w:p w:rsidR="00506A5B" w:rsidRPr="00506A5B" w:rsidRDefault="00CC76D9" w:rsidP="00510A2E">
      <w:pPr>
        <w:spacing w:before="240" w:after="120" w:line="276" w:lineRule="auto"/>
        <w:jc w:val="both"/>
        <w:rPr>
          <w:rFonts w:ascii="Arial" w:hAnsi="Arial" w:cs="Arial"/>
        </w:rPr>
      </w:pPr>
      <w:r w:rsidRPr="00590348">
        <w:rPr>
          <w:rFonts w:ascii="Arial" w:hAnsi="Arial" w:cs="Arial"/>
          <w:b/>
        </w:rPr>
        <w:t>P. Žáková</w:t>
      </w:r>
      <w:r w:rsidRPr="00506A5B">
        <w:rPr>
          <w:rFonts w:ascii="Arial" w:hAnsi="Arial" w:cs="Arial"/>
        </w:rPr>
        <w:t xml:space="preserve"> požádala o průběžné informace, v případě, že by resorty měly tip na někoho, koho by zajímala analytická práce nebo </w:t>
      </w:r>
      <w:proofErr w:type="spellStart"/>
      <w:r w:rsidRPr="00506A5B">
        <w:rPr>
          <w:rFonts w:ascii="Arial" w:hAnsi="Arial" w:cs="Arial"/>
        </w:rPr>
        <w:t>foresight</w:t>
      </w:r>
      <w:proofErr w:type="spellEnd"/>
      <w:r w:rsidRPr="00506A5B">
        <w:rPr>
          <w:rFonts w:ascii="Arial" w:hAnsi="Arial" w:cs="Arial"/>
        </w:rPr>
        <w:t xml:space="preserve"> (může to být </w:t>
      </w:r>
      <w:r>
        <w:rPr>
          <w:rFonts w:ascii="Arial" w:hAnsi="Arial" w:cs="Arial"/>
        </w:rPr>
        <w:t xml:space="preserve">i </w:t>
      </w:r>
      <w:r w:rsidRPr="00506A5B">
        <w:rPr>
          <w:rFonts w:ascii="Arial" w:hAnsi="Arial" w:cs="Arial"/>
        </w:rPr>
        <w:t>někdo mimo státní správu).</w:t>
      </w:r>
      <w:r>
        <w:rPr>
          <w:rFonts w:ascii="Arial" w:hAnsi="Arial" w:cs="Arial"/>
        </w:rPr>
        <w:t xml:space="preserve"> </w:t>
      </w:r>
      <w:r w:rsidRPr="00506A5B">
        <w:rPr>
          <w:rFonts w:ascii="Arial" w:hAnsi="Arial" w:cs="Arial"/>
        </w:rPr>
        <w:t>Termín dalšího jednání bude na podzim</w:t>
      </w:r>
      <w:r w:rsidR="005F6141">
        <w:rPr>
          <w:rFonts w:ascii="Arial" w:hAnsi="Arial" w:cs="Arial"/>
        </w:rPr>
        <w:t>, přičemž k</w:t>
      </w:r>
      <w:r w:rsidRPr="00506A5B">
        <w:rPr>
          <w:rFonts w:ascii="Arial" w:hAnsi="Arial" w:cs="Arial"/>
        </w:rPr>
        <w:t xml:space="preserve">onkrétní datum </w:t>
      </w:r>
      <w:r w:rsidR="005F6141">
        <w:rPr>
          <w:rFonts w:ascii="Arial" w:hAnsi="Arial" w:cs="Arial"/>
        </w:rPr>
        <w:t xml:space="preserve">bude </w:t>
      </w:r>
      <w:r w:rsidRPr="00506A5B">
        <w:rPr>
          <w:rFonts w:ascii="Arial" w:hAnsi="Arial" w:cs="Arial"/>
        </w:rPr>
        <w:t>závis</w:t>
      </w:r>
      <w:r w:rsidR="005F6141">
        <w:rPr>
          <w:rFonts w:ascii="Arial" w:hAnsi="Arial" w:cs="Arial"/>
        </w:rPr>
        <w:t>et</w:t>
      </w:r>
      <w:r w:rsidRPr="00506A5B">
        <w:rPr>
          <w:rFonts w:ascii="Arial" w:hAnsi="Arial" w:cs="Arial"/>
        </w:rPr>
        <w:t xml:space="preserve"> </w:t>
      </w:r>
      <w:r w:rsidR="00A72402">
        <w:rPr>
          <w:rFonts w:ascii="Arial" w:hAnsi="Arial" w:cs="Arial"/>
        </w:rPr>
        <w:t>na termínu dalšího zasedání</w:t>
      </w:r>
      <w:r>
        <w:rPr>
          <w:rFonts w:ascii="Arial" w:hAnsi="Arial" w:cs="Arial"/>
        </w:rPr>
        <w:t xml:space="preserve"> RVUR</w:t>
      </w:r>
      <w:r w:rsidR="005F6141">
        <w:rPr>
          <w:rFonts w:ascii="Arial" w:hAnsi="Arial" w:cs="Arial"/>
        </w:rPr>
        <w:t xml:space="preserve">, na vývoji v analytickém okruhu a případně i na možnosti osobní účasti Aleše Chmelaře. </w:t>
      </w:r>
      <w:r w:rsidR="00590348" w:rsidRPr="00CC76D9">
        <w:rPr>
          <w:rFonts w:ascii="Arial" w:hAnsi="Arial" w:cs="Arial"/>
          <w:bCs/>
        </w:rPr>
        <w:t>P. Žáková</w:t>
      </w:r>
      <w:r w:rsidR="00590348">
        <w:rPr>
          <w:rFonts w:ascii="Arial" w:hAnsi="Arial" w:cs="Arial"/>
          <w:b/>
        </w:rPr>
        <w:t xml:space="preserve"> </w:t>
      </w:r>
      <w:r w:rsidR="00506A5B" w:rsidRPr="00506A5B">
        <w:rPr>
          <w:rFonts w:ascii="Arial" w:hAnsi="Arial" w:cs="Arial"/>
        </w:rPr>
        <w:t xml:space="preserve">poděkovala členům výboru </w:t>
      </w:r>
      <w:r>
        <w:rPr>
          <w:rFonts w:ascii="Arial" w:hAnsi="Arial" w:cs="Arial"/>
        </w:rPr>
        <w:t xml:space="preserve">za účast </w:t>
      </w:r>
      <w:r w:rsidR="00506A5B" w:rsidRPr="00506A5B">
        <w:rPr>
          <w:rFonts w:ascii="Arial" w:hAnsi="Arial" w:cs="Arial"/>
        </w:rPr>
        <w:t>a u</w:t>
      </w:r>
      <w:r>
        <w:rPr>
          <w:rFonts w:ascii="Arial" w:hAnsi="Arial" w:cs="Arial"/>
        </w:rPr>
        <w:t>končila</w:t>
      </w:r>
      <w:r w:rsidR="00506A5B" w:rsidRPr="00506A5B">
        <w:rPr>
          <w:rFonts w:ascii="Arial" w:hAnsi="Arial" w:cs="Arial"/>
        </w:rPr>
        <w:t xml:space="preserve"> jednání. </w:t>
      </w:r>
    </w:p>
    <w:p w:rsidR="002D7CB8" w:rsidRDefault="002D7CB8" w:rsidP="00510A2E">
      <w:pPr>
        <w:jc w:val="both"/>
        <w:rPr>
          <w:rFonts w:ascii="Arial" w:hAnsi="Arial" w:cs="Arial"/>
        </w:rPr>
      </w:pPr>
    </w:p>
    <w:sectPr w:rsidR="002D7CB8" w:rsidSect="002203B5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57" w:rsidRDefault="008C5757" w:rsidP="00592E64">
      <w:r>
        <w:separator/>
      </w:r>
    </w:p>
  </w:endnote>
  <w:endnote w:type="continuationSeparator" w:id="0">
    <w:p w:rsidR="008C5757" w:rsidRDefault="008C5757" w:rsidP="0059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EE" w:rsidRPr="00060788" w:rsidRDefault="00446CEE" w:rsidP="002203B5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133F8E">
      <w:rPr>
        <w:rFonts w:ascii="Arial" w:hAnsi="Arial" w:cs="Arial"/>
        <w:sz w:val="18"/>
        <w:szCs w:val="18"/>
      </w:rPr>
      <w:t xml:space="preserve">Strana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PAGE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C23145">
      <w:rPr>
        <w:rFonts w:ascii="Arial" w:hAnsi="Arial" w:cs="Arial"/>
        <w:bCs/>
        <w:noProof/>
        <w:sz w:val="18"/>
        <w:szCs w:val="18"/>
      </w:rPr>
      <w:t>2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sz w:val="18"/>
        <w:szCs w:val="18"/>
      </w:rPr>
      <w:t xml:space="preserve"> (celkem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NUMPAGES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C23145">
      <w:rPr>
        <w:rFonts w:ascii="Arial" w:hAnsi="Arial" w:cs="Arial"/>
        <w:bCs/>
        <w:noProof/>
        <w:sz w:val="18"/>
        <w:szCs w:val="18"/>
      </w:rPr>
      <w:t>9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57" w:rsidRDefault="008C5757" w:rsidP="00592E64">
      <w:r>
        <w:separator/>
      </w:r>
    </w:p>
  </w:footnote>
  <w:footnote w:type="continuationSeparator" w:id="0">
    <w:p w:rsidR="008C5757" w:rsidRDefault="008C5757" w:rsidP="0059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446CEE" w:rsidRPr="005C01DB" w:rsidTr="002203B5">
      <w:trPr>
        <w:trHeight w:val="278"/>
      </w:trPr>
      <w:tc>
        <w:tcPr>
          <w:tcW w:w="6345" w:type="dxa"/>
          <w:shd w:val="clear" w:color="auto" w:fill="auto"/>
        </w:tcPr>
        <w:p w:rsidR="00446CEE" w:rsidRPr="00C51875" w:rsidRDefault="00446CEE" w:rsidP="002203B5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</w:p>
      </w:tc>
      <w:tc>
        <w:tcPr>
          <w:tcW w:w="3544" w:type="dxa"/>
          <w:shd w:val="clear" w:color="auto" w:fill="auto"/>
        </w:tcPr>
        <w:p w:rsidR="00446CEE" w:rsidRPr="005C01DB" w:rsidRDefault="00446CEE" w:rsidP="002203B5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</w:p>
      </w:tc>
    </w:tr>
  </w:tbl>
  <w:p w:rsidR="00446CEE" w:rsidRPr="003201EB" w:rsidRDefault="00446CEE" w:rsidP="002203B5">
    <w:pPr>
      <w:pStyle w:val="Zhlav"/>
      <w:rPr>
        <w:rFonts w:ascii="Arial" w:hAnsi="Arial" w:cs="Arial"/>
        <w:sz w:val="20"/>
        <w:szCs w:val="20"/>
      </w:rPr>
    </w:pPr>
  </w:p>
  <w:p w:rsidR="00446CEE" w:rsidRPr="003201EB" w:rsidRDefault="00446CEE" w:rsidP="002203B5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66"/>
      <w:gridCol w:w="215"/>
      <w:gridCol w:w="19"/>
    </w:tblGrid>
    <w:tr w:rsidR="00446CEE" w:rsidTr="002203B5">
      <w:trPr>
        <w:gridAfter w:val="1"/>
        <w:wAfter w:w="20" w:type="dxa"/>
        <w:trHeight w:val="164"/>
      </w:trPr>
      <w:tc>
        <w:tcPr>
          <w:tcW w:w="9663" w:type="dxa"/>
          <w:shd w:val="clear" w:color="auto" w:fill="auto"/>
        </w:tcPr>
        <w:tbl>
          <w:tblPr>
            <w:tblW w:w="9666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377"/>
            <w:gridCol w:w="289"/>
          </w:tblGrid>
          <w:tr w:rsidR="00446CEE" w:rsidRPr="0019357E" w:rsidTr="002203B5">
            <w:trPr>
              <w:trHeight w:val="111"/>
            </w:trPr>
            <w:tc>
              <w:tcPr>
                <w:tcW w:w="9374" w:type="dxa"/>
                <w:shd w:val="clear" w:color="auto" w:fill="auto"/>
                <w:vAlign w:val="center"/>
              </w:tcPr>
              <w:tbl>
                <w:tblPr>
                  <w:tblW w:w="9377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6017"/>
                  <w:gridCol w:w="3360"/>
                </w:tblGrid>
                <w:tr w:rsidR="00446CEE" w:rsidTr="002203B5">
                  <w:trPr>
                    <w:trHeight w:val="164"/>
                  </w:trPr>
                  <w:tc>
                    <w:tcPr>
                      <w:tcW w:w="6015" w:type="dxa"/>
                      <w:shd w:val="clear" w:color="auto" w:fill="auto"/>
                      <w:vAlign w:val="center"/>
                    </w:tcPr>
                    <w:p w:rsidR="00446CEE" w:rsidRDefault="00446CEE" w:rsidP="002203B5">
                      <w:pPr>
                        <w:tabs>
                          <w:tab w:val="left" w:pos="1206"/>
                        </w:tabs>
                        <w:jc w:val="both"/>
                        <w:rPr>
                          <w:rFonts w:ascii="Cambria" w:hAnsi="Cambria" w:cs="Arial"/>
                          <w:sz w:val="44"/>
                          <w:szCs w:val="40"/>
                        </w:rPr>
                      </w:pPr>
                      <w:r w:rsidRPr="00554B58">
                        <w:rPr>
                          <w:rFonts w:asciiTheme="minorHAnsi" w:hAnsiTheme="minorHAnsi" w:cs="Arial"/>
                          <w:sz w:val="44"/>
                          <w:szCs w:val="40"/>
                        </w:rPr>
                        <w:t>Rada vlády pro udržitelný rozvoj</w:t>
                      </w:r>
                      <w:r w:rsidRPr="00554B58">
                        <w:rPr>
                          <w:rFonts w:ascii="Cambria" w:hAnsi="Cambria" w:cs="Arial"/>
                          <w:sz w:val="44"/>
                          <w:szCs w:val="40"/>
                        </w:rPr>
                        <w:t xml:space="preserve"> </w:t>
                      </w:r>
                    </w:p>
                  </w:tc>
                  <w:tc>
                    <w:tcPr>
                      <w:tcW w:w="3359" w:type="dxa"/>
                      <w:shd w:val="clear" w:color="auto" w:fill="auto"/>
                    </w:tcPr>
                    <w:p w:rsidR="00446CEE" w:rsidRDefault="00446CEE" w:rsidP="002203B5">
                      <w:pPr>
                        <w:pStyle w:val="Zhlav"/>
                        <w:jc w:val="right"/>
                      </w:pPr>
                      <w:r>
                        <w:rPr>
                          <w:rFonts w:ascii="Cambria" w:hAnsi="Cambria" w:cs="Arial"/>
                          <w:noProof/>
                          <w:sz w:val="36"/>
                          <w:szCs w:val="40"/>
                        </w:rPr>
                        <w:drawing>
                          <wp:inline distT="0" distB="0" distL="0" distR="0" wp14:anchorId="3CF60FC9" wp14:editId="46C85AED">
                            <wp:extent cx="1095763" cy="948520"/>
                            <wp:effectExtent l="0" t="0" r="0" b="4445"/>
                            <wp:docPr id="4" name="Obrázek 4" descr="X:\OKH\RVUR\201805230459_cr-2030-logo-640x36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X:\OKH\RVUR\201805230459_cr-2030-logo-640x36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9873" cy="952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446CEE" w:rsidTr="002203B5">
                  <w:tblPrEx>
                    <w:tblCellMar>
                      <w:left w:w="108" w:type="dxa"/>
                      <w:right w:w="108" w:type="dxa"/>
                    </w:tblCellMar>
                  </w:tblPrEx>
                  <w:trPr>
                    <w:trHeight w:val="100"/>
                  </w:trPr>
                  <w:tc>
                    <w:tcPr>
                      <w:tcW w:w="6015" w:type="dxa"/>
                      <w:shd w:val="clear" w:color="auto" w:fill="auto"/>
                    </w:tcPr>
                    <w:p w:rsidR="00446CEE" w:rsidRPr="00F76890" w:rsidRDefault="00446CEE" w:rsidP="002203B5">
                      <w:pPr>
                        <w:tabs>
                          <w:tab w:val="left" w:pos="1206"/>
                        </w:tabs>
                        <w:rPr>
                          <w:rFonts w:ascii="Cambria" w:hAnsi="Cambria" w:cs="Arial"/>
                          <w:sz w:val="44"/>
                          <w:szCs w:val="40"/>
                        </w:rPr>
                      </w:pPr>
                    </w:p>
                  </w:tc>
                  <w:tc>
                    <w:tcPr>
                      <w:tcW w:w="3359" w:type="dxa"/>
                      <w:shd w:val="clear" w:color="auto" w:fill="auto"/>
                    </w:tcPr>
                    <w:p w:rsidR="00446CEE" w:rsidRDefault="00446CEE" w:rsidP="002203B5">
                      <w:pPr>
                        <w:pStyle w:val="Zhlav"/>
                        <w:jc w:val="right"/>
                      </w:pPr>
                    </w:p>
                  </w:tc>
                </w:tr>
              </w:tbl>
              <w:p w:rsidR="00446CEE" w:rsidRPr="0019357E" w:rsidRDefault="00446CEE" w:rsidP="002203B5">
                <w:pPr>
                  <w:tabs>
                    <w:tab w:val="left" w:pos="1206"/>
                  </w:tabs>
                  <w:rPr>
                    <w:rFonts w:ascii="Cambria" w:hAnsi="Cambria" w:cs="Arial"/>
                    <w:sz w:val="44"/>
                    <w:szCs w:val="40"/>
                  </w:rPr>
                </w:pPr>
              </w:p>
            </w:tc>
            <w:tc>
              <w:tcPr>
                <w:tcW w:w="289" w:type="dxa"/>
                <w:shd w:val="clear" w:color="auto" w:fill="auto"/>
              </w:tcPr>
              <w:p w:rsidR="00446CEE" w:rsidRPr="0019357E" w:rsidRDefault="00446CEE" w:rsidP="002203B5">
                <w:pPr>
                  <w:tabs>
                    <w:tab w:val="left" w:pos="1206"/>
                  </w:tabs>
                  <w:rPr>
                    <w:rFonts w:ascii="Cambria" w:hAnsi="Cambria" w:cs="Arial"/>
                    <w:sz w:val="44"/>
                    <w:szCs w:val="40"/>
                  </w:rPr>
                </w:pPr>
              </w:p>
            </w:tc>
          </w:tr>
          <w:tr w:rsidR="00446CEE" w:rsidRPr="0019357E" w:rsidTr="002203B5">
            <w:tblPrEx>
              <w:tblCellMar>
                <w:left w:w="108" w:type="dxa"/>
                <w:right w:w="108" w:type="dxa"/>
              </w:tblCellMar>
            </w:tblPrEx>
            <w:trPr>
              <w:trHeight w:val="68"/>
            </w:trPr>
            <w:tc>
              <w:tcPr>
                <w:tcW w:w="9374" w:type="dxa"/>
                <w:shd w:val="clear" w:color="auto" w:fill="auto"/>
              </w:tcPr>
              <w:p w:rsidR="00446CEE" w:rsidRPr="0019357E" w:rsidRDefault="00446CEE" w:rsidP="002203B5">
                <w:pPr>
                  <w:tabs>
                    <w:tab w:val="left" w:pos="1206"/>
                  </w:tabs>
                  <w:rPr>
                    <w:rFonts w:ascii="Cambria" w:hAnsi="Cambria" w:cs="Arial"/>
                    <w:sz w:val="44"/>
                    <w:szCs w:val="40"/>
                  </w:rPr>
                </w:pPr>
              </w:p>
            </w:tc>
            <w:tc>
              <w:tcPr>
                <w:tcW w:w="289" w:type="dxa"/>
                <w:shd w:val="clear" w:color="auto" w:fill="auto"/>
              </w:tcPr>
              <w:p w:rsidR="00446CEE" w:rsidRPr="0019357E" w:rsidRDefault="00446CEE" w:rsidP="002203B5">
                <w:pPr>
                  <w:tabs>
                    <w:tab w:val="left" w:pos="1206"/>
                  </w:tabs>
                  <w:rPr>
                    <w:rFonts w:ascii="Cambria" w:hAnsi="Cambria" w:cs="Arial"/>
                    <w:sz w:val="44"/>
                    <w:szCs w:val="40"/>
                  </w:rPr>
                </w:pPr>
              </w:p>
            </w:tc>
          </w:tr>
        </w:tbl>
        <w:p w:rsidR="00446CEE" w:rsidRDefault="00446CEE" w:rsidP="002203B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217" w:type="dxa"/>
          <w:shd w:val="clear" w:color="auto" w:fill="auto"/>
        </w:tcPr>
        <w:p w:rsidR="00446CEE" w:rsidRDefault="00446CEE" w:rsidP="002203B5">
          <w:pPr>
            <w:pStyle w:val="Zhlav"/>
            <w:jc w:val="right"/>
          </w:pPr>
        </w:p>
      </w:tc>
    </w:tr>
    <w:tr w:rsidR="00446CEE" w:rsidTr="002203B5">
      <w:tblPrEx>
        <w:tblCellMar>
          <w:left w:w="108" w:type="dxa"/>
          <w:right w:w="108" w:type="dxa"/>
        </w:tblCellMar>
      </w:tblPrEx>
      <w:trPr>
        <w:trHeight w:val="100"/>
      </w:trPr>
      <w:tc>
        <w:tcPr>
          <w:tcW w:w="9663" w:type="dxa"/>
          <w:shd w:val="clear" w:color="auto" w:fill="auto"/>
        </w:tcPr>
        <w:p w:rsidR="00446CEE" w:rsidRPr="00F76890" w:rsidRDefault="00446CEE" w:rsidP="002203B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237" w:type="dxa"/>
          <w:gridSpan w:val="2"/>
          <w:shd w:val="clear" w:color="auto" w:fill="auto"/>
        </w:tcPr>
        <w:p w:rsidR="00446CEE" w:rsidRDefault="00446CEE" w:rsidP="002203B5">
          <w:pPr>
            <w:pStyle w:val="Zhlav"/>
            <w:jc w:val="right"/>
          </w:pPr>
        </w:p>
      </w:tc>
    </w:tr>
  </w:tbl>
  <w:p w:rsidR="00446CEE" w:rsidRPr="00AA1BE3" w:rsidRDefault="00446CEE" w:rsidP="002203B5">
    <w:pPr>
      <w:pStyle w:val="Zhlav"/>
      <w:rPr>
        <w:rFonts w:ascii="Arial" w:hAnsi="Arial" w:cs="Arial"/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42D"/>
    <w:multiLevelType w:val="hybridMultilevel"/>
    <w:tmpl w:val="6458E9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01A25"/>
    <w:multiLevelType w:val="hybridMultilevel"/>
    <w:tmpl w:val="54D8510C"/>
    <w:lvl w:ilvl="0" w:tplc="97A62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C6C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22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E6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A0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E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C5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6B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CB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2522CC"/>
    <w:multiLevelType w:val="hybridMultilevel"/>
    <w:tmpl w:val="A462E2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ACF4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6BEC"/>
    <w:multiLevelType w:val="hybridMultilevel"/>
    <w:tmpl w:val="1648249C"/>
    <w:lvl w:ilvl="0" w:tplc="C4DA5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8C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49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6E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0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09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CD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48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0D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C5335C"/>
    <w:multiLevelType w:val="hybridMultilevel"/>
    <w:tmpl w:val="16562B88"/>
    <w:lvl w:ilvl="0" w:tplc="CBA649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7DD3"/>
    <w:multiLevelType w:val="hybridMultilevel"/>
    <w:tmpl w:val="07F6C718"/>
    <w:lvl w:ilvl="0" w:tplc="8424F28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B7720"/>
    <w:multiLevelType w:val="hybridMultilevel"/>
    <w:tmpl w:val="A2AE71C6"/>
    <w:lvl w:ilvl="0" w:tplc="45900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782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28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AA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22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68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E7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67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28454F"/>
    <w:multiLevelType w:val="hybridMultilevel"/>
    <w:tmpl w:val="3E8042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7B36"/>
    <w:multiLevelType w:val="hybridMultilevel"/>
    <w:tmpl w:val="58F87B3A"/>
    <w:lvl w:ilvl="0" w:tplc="D65C2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42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A9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4A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64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89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40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83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AA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913D53"/>
    <w:multiLevelType w:val="hybridMultilevel"/>
    <w:tmpl w:val="A532E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23ED5"/>
    <w:multiLevelType w:val="hybridMultilevel"/>
    <w:tmpl w:val="E41CB4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D274C"/>
    <w:multiLevelType w:val="hybridMultilevel"/>
    <w:tmpl w:val="8838722E"/>
    <w:lvl w:ilvl="0" w:tplc="B5866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8E8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42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41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43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A8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89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CA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41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A154AA8"/>
    <w:multiLevelType w:val="hybridMultilevel"/>
    <w:tmpl w:val="99746DEA"/>
    <w:lvl w:ilvl="0" w:tplc="31166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24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63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C8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E6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8A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22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6A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80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661E3C"/>
    <w:multiLevelType w:val="hybridMultilevel"/>
    <w:tmpl w:val="3DC64EB4"/>
    <w:lvl w:ilvl="0" w:tplc="B3AA1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EFF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C5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C3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AA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44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CC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06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EA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D8D526E"/>
    <w:multiLevelType w:val="hybridMultilevel"/>
    <w:tmpl w:val="7944B5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8689B"/>
    <w:multiLevelType w:val="hybridMultilevel"/>
    <w:tmpl w:val="5AB665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B6731"/>
    <w:multiLevelType w:val="hybridMultilevel"/>
    <w:tmpl w:val="0980F8AC"/>
    <w:lvl w:ilvl="0" w:tplc="744E3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C84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EE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CB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C9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0A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6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85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E5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8B13C6"/>
    <w:multiLevelType w:val="hybridMultilevel"/>
    <w:tmpl w:val="80E691CA"/>
    <w:lvl w:ilvl="0" w:tplc="739EF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27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45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68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6B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E3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CD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6C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6D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D9034B7"/>
    <w:multiLevelType w:val="hybridMultilevel"/>
    <w:tmpl w:val="C136A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07B05"/>
    <w:multiLevelType w:val="hybridMultilevel"/>
    <w:tmpl w:val="0BECA6D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40C86"/>
    <w:multiLevelType w:val="hybridMultilevel"/>
    <w:tmpl w:val="A8AA01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83094"/>
    <w:multiLevelType w:val="hybridMultilevel"/>
    <w:tmpl w:val="A1F25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75639"/>
    <w:multiLevelType w:val="hybridMultilevel"/>
    <w:tmpl w:val="0DC83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206A4"/>
    <w:multiLevelType w:val="hybridMultilevel"/>
    <w:tmpl w:val="F51A839E"/>
    <w:lvl w:ilvl="0" w:tplc="C114B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8F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83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A9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A8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C7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43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03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E9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7ED03AD"/>
    <w:multiLevelType w:val="hybridMultilevel"/>
    <w:tmpl w:val="B36820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17CC3"/>
    <w:multiLevelType w:val="hybridMultilevel"/>
    <w:tmpl w:val="155A6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4"/>
  </w:num>
  <w:num w:numId="4">
    <w:abstractNumId w:val="15"/>
  </w:num>
  <w:num w:numId="5">
    <w:abstractNumId w:val="24"/>
  </w:num>
  <w:num w:numId="6">
    <w:abstractNumId w:val="7"/>
  </w:num>
  <w:num w:numId="7">
    <w:abstractNumId w:val="2"/>
  </w:num>
  <w:num w:numId="8">
    <w:abstractNumId w:val="19"/>
  </w:num>
  <w:num w:numId="9">
    <w:abstractNumId w:val="14"/>
  </w:num>
  <w:num w:numId="10">
    <w:abstractNumId w:val="5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25"/>
  </w:num>
  <w:num w:numId="16">
    <w:abstractNumId w:val="0"/>
  </w:num>
  <w:num w:numId="17">
    <w:abstractNumId w:val="8"/>
  </w:num>
  <w:num w:numId="18">
    <w:abstractNumId w:val="11"/>
  </w:num>
  <w:num w:numId="19">
    <w:abstractNumId w:val="17"/>
  </w:num>
  <w:num w:numId="20">
    <w:abstractNumId w:val="16"/>
  </w:num>
  <w:num w:numId="21">
    <w:abstractNumId w:val="1"/>
  </w:num>
  <w:num w:numId="22">
    <w:abstractNumId w:val="13"/>
  </w:num>
  <w:num w:numId="23">
    <w:abstractNumId w:val="3"/>
  </w:num>
  <w:num w:numId="24">
    <w:abstractNumId w:val="6"/>
  </w:num>
  <w:num w:numId="25">
    <w:abstractNumId w:val="12"/>
  </w:num>
  <w:num w:numId="2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NTUwNbMwMDM2MzBV0lEKTi0uzszPAykwrAUAB2UvPCwAAAA="/>
  </w:docVars>
  <w:rsids>
    <w:rsidRoot w:val="00592E64"/>
    <w:rsid w:val="00001F1A"/>
    <w:rsid w:val="000118A3"/>
    <w:rsid w:val="000164F6"/>
    <w:rsid w:val="00017793"/>
    <w:rsid w:val="00020263"/>
    <w:rsid w:val="0002257B"/>
    <w:rsid w:val="000228A0"/>
    <w:rsid w:val="0002309B"/>
    <w:rsid w:val="00026021"/>
    <w:rsid w:val="00026C78"/>
    <w:rsid w:val="00027914"/>
    <w:rsid w:val="00030682"/>
    <w:rsid w:val="000318DD"/>
    <w:rsid w:val="00037C52"/>
    <w:rsid w:val="00041F83"/>
    <w:rsid w:val="00046D59"/>
    <w:rsid w:val="00051564"/>
    <w:rsid w:val="000544AE"/>
    <w:rsid w:val="000574FD"/>
    <w:rsid w:val="000627E3"/>
    <w:rsid w:val="00070063"/>
    <w:rsid w:val="00074A3E"/>
    <w:rsid w:val="00082A5C"/>
    <w:rsid w:val="00084901"/>
    <w:rsid w:val="00085981"/>
    <w:rsid w:val="00090AD5"/>
    <w:rsid w:val="00093755"/>
    <w:rsid w:val="0009695B"/>
    <w:rsid w:val="00096A28"/>
    <w:rsid w:val="000A5103"/>
    <w:rsid w:val="000B14A9"/>
    <w:rsid w:val="000B2294"/>
    <w:rsid w:val="000B5866"/>
    <w:rsid w:val="000B6361"/>
    <w:rsid w:val="000C3204"/>
    <w:rsid w:val="000D0CDA"/>
    <w:rsid w:val="000D331C"/>
    <w:rsid w:val="000D438A"/>
    <w:rsid w:val="000E1C21"/>
    <w:rsid w:val="000E35D3"/>
    <w:rsid w:val="000E4107"/>
    <w:rsid w:val="000E4AF7"/>
    <w:rsid w:val="000E4F3A"/>
    <w:rsid w:val="000E7167"/>
    <w:rsid w:val="000F6080"/>
    <w:rsid w:val="000F733E"/>
    <w:rsid w:val="00102393"/>
    <w:rsid w:val="0010268B"/>
    <w:rsid w:val="00116F27"/>
    <w:rsid w:val="0012374E"/>
    <w:rsid w:val="00123DD0"/>
    <w:rsid w:val="001278DD"/>
    <w:rsid w:val="00133E81"/>
    <w:rsid w:val="001371C0"/>
    <w:rsid w:val="00141F58"/>
    <w:rsid w:val="00143857"/>
    <w:rsid w:val="00155776"/>
    <w:rsid w:val="00156762"/>
    <w:rsid w:val="00160E61"/>
    <w:rsid w:val="001621F7"/>
    <w:rsid w:val="001657B7"/>
    <w:rsid w:val="0017075D"/>
    <w:rsid w:val="0017197D"/>
    <w:rsid w:val="00172A64"/>
    <w:rsid w:val="00176C42"/>
    <w:rsid w:val="00177F91"/>
    <w:rsid w:val="00182460"/>
    <w:rsid w:val="00182F14"/>
    <w:rsid w:val="00184551"/>
    <w:rsid w:val="001867A5"/>
    <w:rsid w:val="001970F2"/>
    <w:rsid w:val="001A1EB7"/>
    <w:rsid w:val="001A3F62"/>
    <w:rsid w:val="001A65C5"/>
    <w:rsid w:val="001B04F9"/>
    <w:rsid w:val="001B2137"/>
    <w:rsid w:val="001C22F6"/>
    <w:rsid w:val="001D2C4A"/>
    <w:rsid w:val="001D4112"/>
    <w:rsid w:val="001E1A16"/>
    <w:rsid w:val="001E2A34"/>
    <w:rsid w:val="001F04A7"/>
    <w:rsid w:val="001F2E8E"/>
    <w:rsid w:val="001F2FB8"/>
    <w:rsid w:val="001F4CC7"/>
    <w:rsid w:val="00204BEB"/>
    <w:rsid w:val="002070BD"/>
    <w:rsid w:val="00211B77"/>
    <w:rsid w:val="00216272"/>
    <w:rsid w:val="00217D40"/>
    <w:rsid w:val="002203B5"/>
    <w:rsid w:val="002318AD"/>
    <w:rsid w:val="00231D4A"/>
    <w:rsid w:val="00231EAA"/>
    <w:rsid w:val="00235B23"/>
    <w:rsid w:val="00244C08"/>
    <w:rsid w:val="00246101"/>
    <w:rsid w:val="00250326"/>
    <w:rsid w:val="00250F6A"/>
    <w:rsid w:val="00251E26"/>
    <w:rsid w:val="002529C1"/>
    <w:rsid w:val="0025686B"/>
    <w:rsid w:val="0025779B"/>
    <w:rsid w:val="0025782C"/>
    <w:rsid w:val="002674BB"/>
    <w:rsid w:val="00267D8F"/>
    <w:rsid w:val="00275384"/>
    <w:rsid w:val="0027645F"/>
    <w:rsid w:val="00277A30"/>
    <w:rsid w:val="002811E2"/>
    <w:rsid w:val="0028326B"/>
    <w:rsid w:val="0028595C"/>
    <w:rsid w:val="00296F07"/>
    <w:rsid w:val="002A4457"/>
    <w:rsid w:val="002B3EE5"/>
    <w:rsid w:val="002B4BBF"/>
    <w:rsid w:val="002C310E"/>
    <w:rsid w:val="002C41B0"/>
    <w:rsid w:val="002C5AA5"/>
    <w:rsid w:val="002C5CA4"/>
    <w:rsid w:val="002D1731"/>
    <w:rsid w:val="002D381F"/>
    <w:rsid w:val="002D7CB8"/>
    <w:rsid w:val="002E160B"/>
    <w:rsid w:val="002E1DA1"/>
    <w:rsid w:val="002E5274"/>
    <w:rsid w:val="002E6A01"/>
    <w:rsid w:val="002E73E0"/>
    <w:rsid w:val="00302246"/>
    <w:rsid w:val="003029C9"/>
    <w:rsid w:val="003071D4"/>
    <w:rsid w:val="00313A46"/>
    <w:rsid w:val="00315F49"/>
    <w:rsid w:val="00320EB2"/>
    <w:rsid w:val="003210B5"/>
    <w:rsid w:val="00321474"/>
    <w:rsid w:val="0032293E"/>
    <w:rsid w:val="003314EE"/>
    <w:rsid w:val="00331E56"/>
    <w:rsid w:val="00336748"/>
    <w:rsid w:val="00336E6A"/>
    <w:rsid w:val="00340B08"/>
    <w:rsid w:val="00343C93"/>
    <w:rsid w:val="003663D0"/>
    <w:rsid w:val="003679D0"/>
    <w:rsid w:val="003725B7"/>
    <w:rsid w:val="00374A9B"/>
    <w:rsid w:val="003828B9"/>
    <w:rsid w:val="003863F7"/>
    <w:rsid w:val="003875A6"/>
    <w:rsid w:val="00392179"/>
    <w:rsid w:val="00393D51"/>
    <w:rsid w:val="0039690B"/>
    <w:rsid w:val="00396915"/>
    <w:rsid w:val="00396F46"/>
    <w:rsid w:val="003A2487"/>
    <w:rsid w:val="003A618C"/>
    <w:rsid w:val="003A7897"/>
    <w:rsid w:val="003B1751"/>
    <w:rsid w:val="003B33A4"/>
    <w:rsid w:val="003B4151"/>
    <w:rsid w:val="003B49C1"/>
    <w:rsid w:val="003B5D39"/>
    <w:rsid w:val="003B74F6"/>
    <w:rsid w:val="003D1C56"/>
    <w:rsid w:val="003D249A"/>
    <w:rsid w:val="003D4AC1"/>
    <w:rsid w:val="003D66CF"/>
    <w:rsid w:val="003D6BF4"/>
    <w:rsid w:val="003E4B5D"/>
    <w:rsid w:val="003F0A5C"/>
    <w:rsid w:val="003F303E"/>
    <w:rsid w:val="003F464E"/>
    <w:rsid w:val="003F56E6"/>
    <w:rsid w:val="004054AE"/>
    <w:rsid w:val="004075B5"/>
    <w:rsid w:val="00414802"/>
    <w:rsid w:val="0042101D"/>
    <w:rsid w:val="00426A95"/>
    <w:rsid w:val="00426D37"/>
    <w:rsid w:val="004270E4"/>
    <w:rsid w:val="00431104"/>
    <w:rsid w:val="00431D99"/>
    <w:rsid w:val="004347F2"/>
    <w:rsid w:val="00440943"/>
    <w:rsid w:val="00443A20"/>
    <w:rsid w:val="0044590D"/>
    <w:rsid w:val="00445FC5"/>
    <w:rsid w:val="00446CEE"/>
    <w:rsid w:val="004500F3"/>
    <w:rsid w:val="00450E69"/>
    <w:rsid w:val="004512D3"/>
    <w:rsid w:val="00453955"/>
    <w:rsid w:val="0045706F"/>
    <w:rsid w:val="004570DA"/>
    <w:rsid w:val="00461AF9"/>
    <w:rsid w:val="00462510"/>
    <w:rsid w:val="00462BDB"/>
    <w:rsid w:val="004635B9"/>
    <w:rsid w:val="00464C55"/>
    <w:rsid w:val="00471D57"/>
    <w:rsid w:val="0047274F"/>
    <w:rsid w:val="00474BB0"/>
    <w:rsid w:val="00475208"/>
    <w:rsid w:val="004774A5"/>
    <w:rsid w:val="004777AE"/>
    <w:rsid w:val="00483101"/>
    <w:rsid w:val="00487BA6"/>
    <w:rsid w:val="004902E2"/>
    <w:rsid w:val="00491B6E"/>
    <w:rsid w:val="00494C72"/>
    <w:rsid w:val="004A4894"/>
    <w:rsid w:val="004A6FDE"/>
    <w:rsid w:val="004A7967"/>
    <w:rsid w:val="004B173C"/>
    <w:rsid w:val="004B3A06"/>
    <w:rsid w:val="004B5BB0"/>
    <w:rsid w:val="004C28C1"/>
    <w:rsid w:val="004C433A"/>
    <w:rsid w:val="004D459D"/>
    <w:rsid w:val="004E05F6"/>
    <w:rsid w:val="004E3B94"/>
    <w:rsid w:val="004E3F65"/>
    <w:rsid w:val="004E5C99"/>
    <w:rsid w:val="004F1568"/>
    <w:rsid w:val="004F42D5"/>
    <w:rsid w:val="004F44C5"/>
    <w:rsid w:val="004F4544"/>
    <w:rsid w:val="004F6D39"/>
    <w:rsid w:val="004F7E41"/>
    <w:rsid w:val="005005BA"/>
    <w:rsid w:val="0050117A"/>
    <w:rsid w:val="005039C5"/>
    <w:rsid w:val="00506A5B"/>
    <w:rsid w:val="00510A2E"/>
    <w:rsid w:val="0052431B"/>
    <w:rsid w:val="00526E20"/>
    <w:rsid w:val="00530F8A"/>
    <w:rsid w:val="00533C86"/>
    <w:rsid w:val="00535B20"/>
    <w:rsid w:val="00540855"/>
    <w:rsid w:val="005409BB"/>
    <w:rsid w:val="00552BDA"/>
    <w:rsid w:val="005571A1"/>
    <w:rsid w:val="00576422"/>
    <w:rsid w:val="00590348"/>
    <w:rsid w:val="00590E57"/>
    <w:rsid w:val="00592140"/>
    <w:rsid w:val="005922A2"/>
    <w:rsid w:val="0059259D"/>
    <w:rsid w:val="00592E64"/>
    <w:rsid w:val="0059591D"/>
    <w:rsid w:val="005A01CB"/>
    <w:rsid w:val="005A5B89"/>
    <w:rsid w:val="005B5A2C"/>
    <w:rsid w:val="005B5D5A"/>
    <w:rsid w:val="005B7C23"/>
    <w:rsid w:val="005C3139"/>
    <w:rsid w:val="005C370C"/>
    <w:rsid w:val="005D02F2"/>
    <w:rsid w:val="005D3F35"/>
    <w:rsid w:val="005D6037"/>
    <w:rsid w:val="005D7EAC"/>
    <w:rsid w:val="005E40FD"/>
    <w:rsid w:val="005F2D86"/>
    <w:rsid w:val="005F32A2"/>
    <w:rsid w:val="005F4633"/>
    <w:rsid w:val="005F6141"/>
    <w:rsid w:val="00600F53"/>
    <w:rsid w:val="0060243A"/>
    <w:rsid w:val="00605E26"/>
    <w:rsid w:val="006105EE"/>
    <w:rsid w:val="006115AC"/>
    <w:rsid w:val="006126BD"/>
    <w:rsid w:val="00615097"/>
    <w:rsid w:val="00616E45"/>
    <w:rsid w:val="006179EA"/>
    <w:rsid w:val="00620DF6"/>
    <w:rsid w:val="006231AB"/>
    <w:rsid w:val="00630E84"/>
    <w:rsid w:val="0063606D"/>
    <w:rsid w:val="0064770E"/>
    <w:rsid w:val="00651B35"/>
    <w:rsid w:val="0066569A"/>
    <w:rsid w:val="00674EDB"/>
    <w:rsid w:val="006771C3"/>
    <w:rsid w:val="006802F4"/>
    <w:rsid w:val="0069127B"/>
    <w:rsid w:val="00691728"/>
    <w:rsid w:val="00693D4D"/>
    <w:rsid w:val="00694420"/>
    <w:rsid w:val="006A18C8"/>
    <w:rsid w:val="006A4F12"/>
    <w:rsid w:val="006A661E"/>
    <w:rsid w:val="006A77CA"/>
    <w:rsid w:val="006B1238"/>
    <w:rsid w:val="006B302E"/>
    <w:rsid w:val="006B39C9"/>
    <w:rsid w:val="006B48C2"/>
    <w:rsid w:val="006C5830"/>
    <w:rsid w:val="006D005B"/>
    <w:rsid w:val="006D134D"/>
    <w:rsid w:val="006D54AE"/>
    <w:rsid w:val="006D5960"/>
    <w:rsid w:val="006E3D0D"/>
    <w:rsid w:val="006E4A4E"/>
    <w:rsid w:val="006E6F05"/>
    <w:rsid w:val="006F5850"/>
    <w:rsid w:val="0070162F"/>
    <w:rsid w:val="00703F3D"/>
    <w:rsid w:val="00704303"/>
    <w:rsid w:val="00705128"/>
    <w:rsid w:val="00712CEB"/>
    <w:rsid w:val="00717003"/>
    <w:rsid w:val="0072023E"/>
    <w:rsid w:val="0072196A"/>
    <w:rsid w:val="00721B20"/>
    <w:rsid w:val="00723AC8"/>
    <w:rsid w:val="007322A7"/>
    <w:rsid w:val="007365E9"/>
    <w:rsid w:val="00743CE9"/>
    <w:rsid w:val="0075682F"/>
    <w:rsid w:val="00761100"/>
    <w:rsid w:val="00762F45"/>
    <w:rsid w:val="007640A2"/>
    <w:rsid w:val="0077080C"/>
    <w:rsid w:val="007830B5"/>
    <w:rsid w:val="00785D1A"/>
    <w:rsid w:val="00787206"/>
    <w:rsid w:val="00791333"/>
    <w:rsid w:val="007922E2"/>
    <w:rsid w:val="00795A76"/>
    <w:rsid w:val="007A0ECB"/>
    <w:rsid w:val="007A3269"/>
    <w:rsid w:val="007A36DB"/>
    <w:rsid w:val="007A4116"/>
    <w:rsid w:val="007A42AD"/>
    <w:rsid w:val="007B5B6A"/>
    <w:rsid w:val="007C1BE5"/>
    <w:rsid w:val="007D34E6"/>
    <w:rsid w:val="007D62E6"/>
    <w:rsid w:val="007E0466"/>
    <w:rsid w:val="007E1479"/>
    <w:rsid w:val="007E1F0B"/>
    <w:rsid w:val="007E35CB"/>
    <w:rsid w:val="007E3AC0"/>
    <w:rsid w:val="007F0D37"/>
    <w:rsid w:val="007F5346"/>
    <w:rsid w:val="007F59A4"/>
    <w:rsid w:val="0080300A"/>
    <w:rsid w:val="00806819"/>
    <w:rsid w:val="00806970"/>
    <w:rsid w:val="008115D9"/>
    <w:rsid w:val="00813CC0"/>
    <w:rsid w:val="00813EAC"/>
    <w:rsid w:val="00817F20"/>
    <w:rsid w:val="008260E8"/>
    <w:rsid w:val="00826DD0"/>
    <w:rsid w:val="00827578"/>
    <w:rsid w:val="008339AF"/>
    <w:rsid w:val="00834BD1"/>
    <w:rsid w:val="00836BFA"/>
    <w:rsid w:val="008408DA"/>
    <w:rsid w:val="008443D1"/>
    <w:rsid w:val="00851B0C"/>
    <w:rsid w:val="00852578"/>
    <w:rsid w:val="0085260F"/>
    <w:rsid w:val="00857B26"/>
    <w:rsid w:val="00860830"/>
    <w:rsid w:val="008624DC"/>
    <w:rsid w:val="00862BBC"/>
    <w:rsid w:val="00870ED0"/>
    <w:rsid w:val="00871348"/>
    <w:rsid w:val="0087573B"/>
    <w:rsid w:val="008760B2"/>
    <w:rsid w:val="00877616"/>
    <w:rsid w:val="00877E2F"/>
    <w:rsid w:val="00880845"/>
    <w:rsid w:val="0088278C"/>
    <w:rsid w:val="00883C56"/>
    <w:rsid w:val="00883E75"/>
    <w:rsid w:val="00885FD7"/>
    <w:rsid w:val="008865ED"/>
    <w:rsid w:val="0089004B"/>
    <w:rsid w:val="00894A25"/>
    <w:rsid w:val="008A1C47"/>
    <w:rsid w:val="008A4C2F"/>
    <w:rsid w:val="008A6123"/>
    <w:rsid w:val="008B0E73"/>
    <w:rsid w:val="008B4FB8"/>
    <w:rsid w:val="008C26B8"/>
    <w:rsid w:val="008C2CBE"/>
    <w:rsid w:val="008C36DA"/>
    <w:rsid w:val="008C3E96"/>
    <w:rsid w:val="008C5757"/>
    <w:rsid w:val="008C6C9F"/>
    <w:rsid w:val="008D0D6F"/>
    <w:rsid w:val="008D130B"/>
    <w:rsid w:val="008D5701"/>
    <w:rsid w:val="008D76DE"/>
    <w:rsid w:val="008D7700"/>
    <w:rsid w:val="008E440C"/>
    <w:rsid w:val="008E5F34"/>
    <w:rsid w:val="008F147E"/>
    <w:rsid w:val="0090516C"/>
    <w:rsid w:val="009058A5"/>
    <w:rsid w:val="00906158"/>
    <w:rsid w:val="00907D9B"/>
    <w:rsid w:val="00910C07"/>
    <w:rsid w:val="009136DE"/>
    <w:rsid w:val="00915855"/>
    <w:rsid w:val="0092007A"/>
    <w:rsid w:val="009340FD"/>
    <w:rsid w:val="0094094A"/>
    <w:rsid w:val="00940C68"/>
    <w:rsid w:val="0094181D"/>
    <w:rsid w:val="00942023"/>
    <w:rsid w:val="00954F45"/>
    <w:rsid w:val="009563B1"/>
    <w:rsid w:val="0096632D"/>
    <w:rsid w:val="00967579"/>
    <w:rsid w:val="00983536"/>
    <w:rsid w:val="00983AF8"/>
    <w:rsid w:val="00990786"/>
    <w:rsid w:val="00994F7A"/>
    <w:rsid w:val="00995C9F"/>
    <w:rsid w:val="009B55B1"/>
    <w:rsid w:val="009B5A0D"/>
    <w:rsid w:val="009C1CE9"/>
    <w:rsid w:val="009C24CD"/>
    <w:rsid w:val="009C5ABB"/>
    <w:rsid w:val="009C7276"/>
    <w:rsid w:val="009C7867"/>
    <w:rsid w:val="009D097F"/>
    <w:rsid w:val="009D635A"/>
    <w:rsid w:val="009E0A1D"/>
    <w:rsid w:val="009E0D30"/>
    <w:rsid w:val="009E46CB"/>
    <w:rsid w:val="009F04B8"/>
    <w:rsid w:val="009F265F"/>
    <w:rsid w:val="009F2D68"/>
    <w:rsid w:val="00A020CC"/>
    <w:rsid w:val="00A0438D"/>
    <w:rsid w:val="00A04902"/>
    <w:rsid w:val="00A0493D"/>
    <w:rsid w:val="00A10403"/>
    <w:rsid w:val="00A117EA"/>
    <w:rsid w:val="00A15496"/>
    <w:rsid w:val="00A22D3A"/>
    <w:rsid w:val="00A248FB"/>
    <w:rsid w:val="00A24CE4"/>
    <w:rsid w:val="00A30416"/>
    <w:rsid w:val="00A331A3"/>
    <w:rsid w:val="00A344F6"/>
    <w:rsid w:val="00A34AD2"/>
    <w:rsid w:val="00A477A2"/>
    <w:rsid w:val="00A53B4A"/>
    <w:rsid w:val="00A54DE2"/>
    <w:rsid w:val="00A55A3F"/>
    <w:rsid w:val="00A624E3"/>
    <w:rsid w:val="00A6257C"/>
    <w:rsid w:val="00A63A3B"/>
    <w:rsid w:val="00A703FF"/>
    <w:rsid w:val="00A71111"/>
    <w:rsid w:val="00A72402"/>
    <w:rsid w:val="00A76D5F"/>
    <w:rsid w:val="00A83329"/>
    <w:rsid w:val="00A8528B"/>
    <w:rsid w:val="00A869B9"/>
    <w:rsid w:val="00A90DD4"/>
    <w:rsid w:val="00A911FE"/>
    <w:rsid w:val="00A92184"/>
    <w:rsid w:val="00A93D6B"/>
    <w:rsid w:val="00AA594F"/>
    <w:rsid w:val="00AB30A1"/>
    <w:rsid w:val="00AB39C2"/>
    <w:rsid w:val="00AB456E"/>
    <w:rsid w:val="00AB6A5D"/>
    <w:rsid w:val="00AB71B4"/>
    <w:rsid w:val="00AC17EF"/>
    <w:rsid w:val="00AD052D"/>
    <w:rsid w:val="00AD6778"/>
    <w:rsid w:val="00AE0EF4"/>
    <w:rsid w:val="00AE1A7C"/>
    <w:rsid w:val="00AE28E2"/>
    <w:rsid w:val="00AE61DD"/>
    <w:rsid w:val="00AE6414"/>
    <w:rsid w:val="00AF632C"/>
    <w:rsid w:val="00B0188B"/>
    <w:rsid w:val="00B0236A"/>
    <w:rsid w:val="00B02FE1"/>
    <w:rsid w:val="00B03BB6"/>
    <w:rsid w:val="00B03EE6"/>
    <w:rsid w:val="00B11711"/>
    <w:rsid w:val="00B11844"/>
    <w:rsid w:val="00B12533"/>
    <w:rsid w:val="00B164FC"/>
    <w:rsid w:val="00B17571"/>
    <w:rsid w:val="00B17797"/>
    <w:rsid w:val="00B221F9"/>
    <w:rsid w:val="00B23133"/>
    <w:rsid w:val="00B252BD"/>
    <w:rsid w:val="00B263AE"/>
    <w:rsid w:val="00B33252"/>
    <w:rsid w:val="00B341C1"/>
    <w:rsid w:val="00B36665"/>
    <w:rsid w:val="00B410EB"/>
    <w:rsid w:val="00B42402"/>
    <w:rsid w:val="00B42496"/>
    <w:rsid w:val="00B45920"/>
    <w:rsid w:val="00B46079"/>
    <w:rsid w:val="00B46EE6"/>
    <w:rsid w:val="00B478FB"/>
    <w:rsid w:val="00B53A37"/>
    <w:rsid w:val="00B53A9A"/>
    <w:rsid w:val="00B53D13"/>
    <w:rsid w:val="00B54351"/>
    <w:rsid w:val="00B54BB7"/>
    <w:rsid w:val="00B55430"/>
    <w:rsid w:val="00B55DA4"/>
    <w:rsid w:val="00B74243"/>
    <w:rsid w:val="00B822AC"/>
    <w:rsid w:val="00B93232"/>
    <w:rsid w:val="00B96534"/>
    <w:rsid w:val="00B96DFE"/>
    <w:rsid w:val="00BA5097"/>
    <w:rsid w:val="00BB3065"/>
    <w:rsid w:val="00BB6EE6"/>
    <w:rsid w:val="00BC0001"/>
    <w:rsid w:val="00BC3EA9"/>
    <w:rsid w:val="00BC4E13"/>
    <w:rsid w:val="00BC66CE"/>
    <w:rsid w:val="00BD3705"/>
    <w:rsid w:val="00BE0804"/>
    <w:rsid w:val="00BE7333"/>
    <w:rsid w:val="00BF1536"/>
    <w:rsid w:val="00BF2C43"/>
    <w:rsid w:val="00BF570B"/>
    <w:rsid w:val="00C01240"/>
    <w:rsid w:val="00C01C64"/>
    <w:rsid w:val="00C02AA7"/>
    <w:rsid w:val="00C03D7F"/>
    <w:rsid w:val="00C063BF"/>
    <w:rsid w:val="00C06DFE"/>
    <w:rsid w:val="00C10520"/>
    <w:rsid w:val="00C105CF"/>
    <w:rsid w:val="00C1210B"/>
    <w:rsid w:val="00C15E97"/>
    <w:rsid w:val="00C16F3C"/>
    <w:rsid w:val="00C220F8"/>
    <w:rsid w:val="00C23145"/>
    <w:rsid w:val="00C2338F"/>
    <w:rsid w:val="00C23BA4"/>
    <w:rsid w:val="00C23BF3"/>
    <w:rsid w:val="00C23F44"/>
    <w:rsid w:val="00C266AA"/>
    <w:rsid w:val="00C32EC1"/>
    <w:rsid w:val="00C332DE"/>
    <w:rsid w:val="00C33AC2"/>
    <w:rsid w:val="00C36C87"/>
    <w:rsid w:val="00C44E14"/>
    <w:rsid w:val="00C47C3F"/>
    <w:rsid w:val="00C511E2"/>
    <w:rsid w:val="00C567E4"/>
    <w:rsid w:val="00C6230A"/>
    <w:rsid w:val="00C62EEF"/>
    <w:rsid w:val="00C743A9"/>
    <w:rsid w:val="00C8024E"/>
    <w:rsid w:val="00C80F45"/>
    <w:rsid w:val="00C82E56"/>
    <w:rsid w:val="00C93AFF"/>
    <w:rsid w:val="00C95E12"/>
    <w:rsid w:val="00C975A9"/>
    <w:rsid w:val="00C976B1"/>
    <w:rsid w:val="00CA0DAC"/>
    <w:rsid w:val="00CA3BD0"/>
    <w:rsid w:val="00CA6A7F"/>
    <w:rsid w:val="00CB042F"/>
    <w:rsid w:val="00CB114B"/>
    <w:rsid w:val="00CB27AC"/>
    <w:rsid w:val="00CB3569"/>
    <w:rsid w:val="00CB4B25"/>
    <w:rsid w:val="00CB4DE3"/>
    <w:rsid w:val="00CB5B91"/>
    <w:rsid w:val="00CB5EE7"/>
    <w:rsid w:val="00CC08F8"/>
    <w:rsid w:val="00CC76D9"/>
    <w:rsid w:val="00CD20A0"/>
    <w:rsid w:val="00CD25B0"/>
    <w:rsid w:val="00CD36D1"/>
    <w:rsid w:val="00CE06FA"/>
    <w:rsid w:val="00CE2356"/>
    <w:rsid w:val="00CE53A6"/>
    <w:rsid w:val="00CF6153"/>
    <w:rsid w:val="00D00A12"/>
    <w:rsid w:val="00D12A0B"/>
    <w:rsid w:val="00D13EA0"/>
    <w:rsid w:val="00D25365"/>
    <w:rsid w:val="00D25FF8"/>
    <w:rsid w:val="00D26D2C"/>
    <w:rsid w:val="00D33600"/>
    <w:rsid w:val="00D42513"/>
    <w:rsid w:val="00D44E40"/>
    <w:rsid w:val="00D469CA"/>
    <w:rsid w:val="00D47CA0"/>
    <w:rsid w:val="00D5038A"/>
    <w:rsid w:val="00D51610"/>
    <w:rsid w:val="00D5171C"/>
    <w:rsid w:val="00D5518D"/>
    <w:rsid w:val="00D55A07"/>
    <w:rsid w:val="00D55F2E"/>
    <w:rsid w:val="00D57D2B"/>
    <w:rsid w:val="00D65865"/>
    <w:rsid w:val="00D676D1"/>
    <w:rsid w:val="00D70F28"/>
    <w:rsid w:val="00D75D12"/>
    <w:rsid w:val="00D77C0B"/>
    <w:rsid w:val="00D80CF4"/>
    <w:rsid w:val="00D8756A"/>
    <w:rsid w:val="00D9031B"/>
    <w:rsid w:val="00D9099C"/>
    <w:rsid w:val="00D95A0B"/>
    <w:rsid w:val="00DA3149"/>
    <w:rsid w:val="00DA493D"/>
    <w:rsid w:val="00DA4F68"/>
    <w:rsid w:val="00DA79F2"/>
    <w:rsid w:val="00DB57AF"/>
    <w:rsid w:val="00DC214A"/>
    <w:rsid w:val="00DC5664"/>
    <w:rsid w:val="00DC5757"/>
    <w:rsid w:val="00DD74A0"/>
    <w:rsid w:val="00DE014B"/>
    <w:rsid w:val="00DE1C3D"/>
    <w:rsid w:val="00DE53DB"/>
    <w:rsid w:val="00DE596E"/>
    <w:rsid w:val="00DF16DE"/>
    <w:rsid w:val="00DF438E"/>
    <w:rsid w:val="00DF49AA"/>
    <w:rsid w:val="00DF5870"/>
    <w:rsid w:val="00DF78A6"/>
    <w:rsid w:val="00E03F6A"/>
    <w:rsid w:val="00E16A5A"/>
    <w:rsid w:val="00E21FAA"/>
    <w:rsid w:val="00E2320E"/>
    <w:rsid w:val="00E340D7"/>
    <w:rsid w:val="00E34E07"/>
    <w:rsid w:val="00E35A14"/>
    <w:rsid w:val="00E36CBF"/>
    <w:rsid w:val="00E41BBF"/>
    <w:rsid w:val="00E42A22"/>
    <w:rsid w:val="00E46158"/>
    <w:rsid w:val="00E46FBC"/>
    <w:rsid w:val="00E55B50"/>
    <w:rsid w:val="00E57491"/>
    <w:rsid w:val="00E70EA3"/>
    <w:rsid w:val="00E745F3"/>
    <w:rsid w:val="00E830C1"/>
    <w:rsid w:val="00E83134"/>
    <w:rsid w:val="00E84E7E"/>
    <w:rsid w:val="00E8602A"/>
    <w:rsid w:val="00E87A99"/>
    <w:rsid w:val="00E9371F"/>
    <w:rsid w:val="00E945FE"/>
    <w:rsid w:val="00EA6155"/>
    <w:rsid w:val="00EA77AB"/>
    <w:rsid w:val="00EB02C1"/>
    <w:rsid w:val="00EB0E75"/>
    <w:rsid w:val="00EB2B15"/>
    <w:rsid w:val="00EC02BE"/>
    <w:rsid w:val="00EC0E99"/>
    <w:rsid w:val="00EC184B"/>
    <w:rsid w:val="00EC1CDC"/>
    <w:rsid w:val="00EC1D37"/>
    <w:rsid w:val="00EC2247"/>
    <w:rsid w:val="00EC2A12"/>
    <w:rsid w:val="00EC39C9"/>
    <w:rsid w:val="00ED488D"/>
    <w:rsid w:val="00EE1900"/>
    <w:rsid w:val="00EE6AEE"/>
    <w:rsid w:val="00EE7D11"/>
    <w:rsid w:val="00F018D8"/>
    <w:rsid w:val="00F030ED"/>
    <w:rsid w:val="00F108C9"/>
    <w:rsid w:val="00F12CCF"/>
    <w:rsid w:val="00F143C0"/>
    <w:rsid w:val="00F15F6C"/>
    <w:rsid w:val="00F428A6"/>
    <w:rsid w:val="00F45836"/>
    <w:rsid w:val="00F47801"/>
    <w:rsid w:val="00F51A17"/>
    <w:rsid w:val="00F529C3"/>
    <w:rsid w:val="00F53509"/>
    <w:rsid w:val="00F557CD"/>
    <w:rsid w:val="00F60D3C"/>
    <w:rsid w:val="00F6484F"/>
    <w:rsid w:val="00F65AF9"/>
    <w:rsid w:val="00F737D0"/>
    <w:rsid w:val="00F85999"/>
    <w:rsid w:val="00F91C92"/>
    <w:rsid w:val="00F92980"/>
    <w:rsid w:val="00FA3702"/>
    <w:rsid w:val="00FA45DA"/>
    <w:rsid w:val="00FA4E08"/>
    <w:rsid w:val="00FB2EC1"/>
    <w:rsid w:val="00FB3F4B"/>
    <w:rsid w:val="00FB628F"/>
    <w:rsid w:val="00FB6E32"/>
    <w:rsid w:val="00FC083D"/>
    <w:rsid w:val="00FC2907"/>
    <w:rsid w:val="00FC2B5B"/>
    <w:rsid w:val="00FC6B61"/>
    <w:rsid w:val="00FD2CE3"/>
    <w:rsid w:val="00FD30B8"/>
    <w:rsid w:val="00FD35F8"/>
    <w:rsid w:val="00FD4B74"/>
    <w:rsid w:val="00FD5084"/>
    <w:rsid w:val="00FE0210"/>
    <w:rsid w:val="00FE2D07"/>
    <w:rsid w:val="00FE44A9"/>
    <w:rsid w:val="00FE4CE7"/>
    <w:rsid w:val="00FE601A"/>
    <w:rsid w:val="00FE645B"/>
    <w:rsid w:val="00FF34DE"/>
    <w:rsid w:val="00FF45C2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D396"/>
  <w15:docId w15:val="{A0903C8A-3E95-44D3-AD21-121F2618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92E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2E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92E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92E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592E64"/>
    <w:rPr>
      <w:color w:val="0000FF"/>
      <w:u w:val="single"/>
    </w:rPr>
  </w:style>
  <w:style w:type="paragraph" w:styleId="Odstavecseseznamem">
    <w:name w:val="List Paragraph"/>
    <w:aliases w:val="Conclusion de partie,List Paragraph,Odstavec se seznamem1,Odstavec_muj,Nad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592E64"/>
    <w:pPr>
      <w:ind w:left="708"/>
    </w:pPr>
  </w:style>
  <w:style w:type="character" w:customStyle="1" w:styleId="OdstavecseseznamemChar">
    <w:name w:val="Odstavec se seznamem Char"/>
    <w:aliases w:val="Conclusion de partie Char,List Paragraph Char,Odstavec se seznamem1 Char,Odstavec_muj Char,Nad Char,Odstavec_muj1 Char,Odstavec_muj2 Char,Odstavec_muj3 Char,Nad1 Char,List Paragraph1 Char,Odstavec_muj4 Char,Nad2 Char"/>
    <w:link w:val="Odstavecseseznamem"/>
    <w:uiPriority w:val="34"/>
    <w:rsid w:val="00592E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592E6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92E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592E64"/>
    <w:rPr>
      <w:vertAlign w:val="superscript"/>
    </w:rPr>
  </w:style>
  <w:style w:type="paragraph" w:customStyle="1" w:styleId="Default">
    <w:name w:val="Default"/>
    <w:rsid w:val="00FB2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2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2A7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039C5"/>
    <w:pPr>
      <w:spacing w:before="100" w:beforeAutospacing="1" w:after="100" w:afterAutospacing="1"/>
    </w:pPr>
  </w:style>
  <w:style w:type="character" w:customStyle="1" w:styleId="left">
    <w:name w:val="left"/>
    <w:basedOn w:val="Standardnpsmoodstavce"/>
    <w:rsid w:val="00B252BD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4DE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B4D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3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1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5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6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6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5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7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1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1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04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6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05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1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2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8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86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baze-strategie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lada.gov.cz/cz/evropske-zalezitosti/podpora-strukturalnich-reforem/program-na-podporu-strukturalnich-reforem--174689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lada.cz/cz/evropske-zalezitosti/aktualne/probehly-seminare-k-uplatnovani-zasady-dnsh-v-investicich-podporovanych-z-fondu-eu-212873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lada.gov.cz/cz/urad-vlady/fondy-eu/aktivni_projekty/plne-financovany-projekt-ek-metodologie-pro-aplikaci-zasady-_vyznamne-neposkozovat_-na-narodni-urovni-ve-fondech-a-programech-eu-1959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zp.cz/cz/news_20240319_Vysla-druha-Zprava-o-kvalite-zivota-a-jeji-udrzitelnosti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1</Pages>
  <Words>3838</Words>
  <Characters>22649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Mundil Artur</dc:creator>
  <cp:lastModifiedBy>Truchlá Jana</cp:lastModifiedBy>
  <cp:revision>46</cp:revision>
  <cp:lastPrinted>2021-01-14T13:05:00Z</cp:lastPrinted>
  <dcterms:created xsi:type="dcterms:W3CDTF">2022-11-15T16:01:00Z</dcterms:created>
  <dcterms:modified xsi:type="dcterms:W3CDTF">2024-06-17T07:56:00Z</dcterms:modified>
</cp:coreProperties>
</file>