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812" w:rsidRPr="002A2812" w:rsidRDefault="002A2812" w:rsidP="002A2812">
      <w:pPr>
        <w:tabs>
          <w:tab w:val="left" w:pos="3119"/>
          <w:tab w:val="left" w:pos="4820"/>
        </w:tabs>
        <w:jc w:val="both"/>
        <w:rPr>
          <w:rFonts w:ascii="Arial" w:hAnsi="Arial" w:cs="Arial"/>
          <w:sz w:val="20"/>
          <w:szCs w:val="20"/>
        </w:rPr>
      </w:pPr>
      <w:r>
        <w:rPr>
          <w:rFonts w:ascii="Arial" w:hAnsi="Arial" w:cs="Arial"/>
          <w:sz w:val="20"/>
          <w:szCs w:val="20"/>
        </w:rPr>
        <w:tab/>
      </w:r>
    </w:p>
    <w:p w:rsidR="0068671A" w:rsidRPr="0068671A" w:rsidRDefault="0068671A" w:rsidP="0068671A">
      <w:pPr>
        <w:spacing w:after="120"/>
        <w:jc w:val="center"/>
        <w:rPr>
          <w:rFonts w:ascii="Arial" w:hAnsi="Arial" w:cs="Arial"/>
          <w:b/>
          <w:sz w:val="28"/>
          <w:szCs w:val="24"/>
          <w:lang w:eastAsia="cs-CZ"/>
        </w:rPr>
      </w:pPr>
    </w:p>
    <w:p w:rsidR="0068671A" w:rsidRPr="0068671A" w:rsidRDefault="0068671A" w:rsidP="0068671A">
      <w:pPr>
        <w:spacing w:after="120"/>
        <w:jc w:val="center"/>
        <w:rPr>
          <w:rFonts w:ascii="Arial" w:hAnsi="Arial" w:cs="Arial"/>
          <w:b/>
          <w:sz w:val="36"/>
          <w:szCs w:val="24"/>
          <w:lang w:eastAsia="cs-CZ"/>
        </w:rPr>
      </w:pPr>
    </w:p>
    <w:p w:rsidR="0068671A" w:rsidRPr="0068671A" w:rsidRDefault="0068671A" w:rsidP="0068671A">
      <w:pPr>
        <w:spacing w:after="120"/>
        <w:jc w:val="center"/>
        <w:rPr>
          <w:rFonts w:ascii="Arial" w:hAnsi="Arial" w:cs="Arial"/>
          <w:b/>
          <w:sz w:val="36"/>
          <w:szCs w:val="24"/>
          <w:lang w:eastAsia="cs-CZ"/>
        </w:rPr>
      </w:pPr>
      <w:bookmarkStart w:id="0" w:name="_GoBack"/>
      <w:r w:rsidRPr="0068671A">
        <w:rPr>
          <w:rFonts w:ascii="Arial" w:hAnsi="Arial" w:cs="Arial"/>
          <w:b/>
          <w:sz w:val="36"/>
          <w:szCs w:val="24"/>
          <w:lang w:eastAsia="cs-CZ"/>
        </w:rPr>
        <w:t xml:space="preserve">Projektový záměr projektu </w:t>
      </w:r>
      <w:r w:rsidRPr="0068671A">
        <w:rPr>
          <w:rFonts w:ascii="Arial" w:hAnsi="Arial" w:cs="Arial"/>
          <w:b/>
          <w:i/>
          <w:sz w:val="36"/>
          <w:szCs w:val="24"/>
          <w:lang w:eastAsia="cs-CZ"/>
        </w:rPr>
        <w:t>Nástroje politiky udržitelného rozvoje v České republice</w:t>
      </w:r>
    </w:p>
    <w:bookmarkEnd w:id="0"/>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keepNext/>
        <w:spacing w:before="120" w:after="120"/>
        <w:outlineLvl w:val="0"/>
        <w:rPr>
          <w:rFonts w:ascii="Arial" w:hAnsi="Arial" w:cs="Arial"/>
          <w:b/>
          <w:bCs/>
          <w:sz w:val="28"/>
          <w:szCs w:val="24"/>
          <w:lang w:eastAsia="cs-CZ"/>
        </w:rPr>
      </w:pPr>
      <w:r w:rsidRPr="0068671A">
        <w:rPr>
          <w:rFonts w:ascii="Arial" w:hAnsi="Arial" w:cs="Arial"/>
          <w:b/>
          <w:bCs/>
          <w:sz w:val="28"/>
          <w:szCs w:val="24"/>
          <w:lang w:eastAsia="cs-CZ"/>
        </w:rPr>
        <w:t>Základní informace o projektovém záměru</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Hlavní příjemce:</w:t>
      </w:r>
      <w:r w:rsidRPr="0068671A">
        <w:rPr>
          <w:rFonts w:ascii="Arial" w:hAnsi="Arial" w:cs="Arial"/>
          <w:szCs w:val="24"/>
          <w:lang w:eastAsia="cs-CZ"/>
        </w:rPr>
        <w:t xml:space="preserve"> Ministerstvo životního prostředí (dále jen „MŽP)</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Partner s finanční účastí 1:</w:t>
      </w:r>
      <w:r w:rsidRPr="0068671A">
        <w:rPr>
          <w:rFonts w:ascii="Arial" w:hAnsi="Arial" w:cs="Arial"/>
          <w:szCs w:val="24"/>
          <w:lang w:eastAsia="cs-CZ"/>
        </w:rPr>
        <w:t xml:space="preserve"> Ministerstvo pro místní rozvoj (dále jen „MMR“)</w:t>
      </w:r>
    </w:p>
    <w:p w:rsidR="0068671A" w:rsidRPr="0068671A" w:rsidRDefault="0068671A" w:rsidP="0068671A">
      <w:pPr>
        <w:spacing w:after="120"/>
        <w:ind w:left="3261" w:hanging="3261"/>
        <w:jc w:val="both"/>
        <w:rPr>
          <w:rFonts w:ascii="Arial" w:hAnsi="Arial" w:cs="Arial"/>
          <w:szCs w:val="24"/>
          <w:lang w:eastAsia="cs-CZ"/>
        </w:rPr>
      </w:pPr>
      <w:r w:rsidRPr="0068671A">
        <w:rPr>
          <w:rFonts w:ascii="Arial" w:hAnsi="Arial" w:cs="Arial"/>
          <w:szCs w:val="24"/>
          <w:u w:val="single"/>
          <w:lang w:eastAsia="cs-CZ"/>
        </w:rPr>
        <w:t>Partner s finanční účastí 2:</w:t>
      </w:r>
      <w:r w:rsidRPr="0068671A">
        <w:rPr>
          <w:rFonts w:ascii="Arial" w:hAnsi="Arial" w:cs="Arial"/>
          <w:szCs w:val="24"/>
          <w:lang w:eastAsia="cs-CZ"/>
        </w:rPr>
        <w:t xml:space="preserve"> CENIA, česká informační agentura životního prostředí (dále jen „CENIA“)</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Partner s finanční účastí 3:</w:t>
      </w:r>
      <w:r w:rsidRPr="0068671A">
        <w:rPr>
          <w:rFonts w:ascii="Arial" w:hAnsi="Arial" w:cs="Arial"/>
          <w:szCs w:val="24"/>
          <w:lang w:eastAsia="cs-CZ"/>
        </w:rPr>
        <w:t xml:space="preserve"> Český statistický úřad (dále jen „ČSÚ“)</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Časový rámec:</w:t>
      </w:r>
      <w:r w:rsidRPr="0068671A">
        <w:rPr>
          <w:rFonts w:ascii="Arial" w:hAnsi="Arial" w:cs="Arial"/>
          <w:szCs w:val="24"/>
          <w:lang w:eastAsia="cs-CZ"/>
        </w:rPr>
        <w:t xml:space="preserve"> 1. 7. 2019 – 30. 06. 2023 (48 měsíců)</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Celková finanční alokace projektu:</w:t>
      </w:r>
      <w:r w:rsidRPr="0068671A">
        <w:rPr>
          <w:rFonts w:ascii="Arial" w:hAnsi="Arial" w:cs="Arial"/>
          <w:szCs w:val="24"/>
          <w:lang w:eastAsia="cs-CZ"/>
        </w:rPr>
        <w:t xml:space="preserve"> 48.983.448 Kč</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Celkové náklady pro MŽP:</w:t>
      </w:r>
      <w:r w:rsidRPr="0068671A">
        <w:rPr>
          <w:rFonts w:ascii="Arial" w:hAnsi="Arial" w:cs="Arial"/>
          <w:szCs w:val="24"/>
          <w:lang w:eastAsia="cs-CZ"/>
        </w:rPr>
        <w:t xml:space="preserve"> 22.437.480 Kč</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Zdroj financování:</w:t>
      </w:r>
      <w:r w:rsidRPr="0068671A">
        <w:rPr>
          <w:rFonts w:ascii="Arial" w:hAnsi="Arial" w:cs="Arial"/>
          <w:szCs w:val="24"/>
          <w:lang w:eastAsia="cs-CZ"/>
        </w:rPr>
        <w:t xml:space="preserve"> Operační program zaměstnanost – Výzva (č. 19) pro projekty podporující implementaci Strategického rámce rozvoje veřejné správy ČR pro období 2014 – 2020; projekt byl schválen pod názvem Mechanismy prosazování principů udržitelného rozvoje ve státní správě v příloze č. 1 k usnesení vlády ze dne 18. září 2017 č. 658 k technické revizi Implementačních plánů Strategického rámce rozvoje veřejné správy České republiky pro období 2014-2020 týkající se projektů financovaných z evropských strukturálních fondů, příjemcem měl být Úřad vlády; na základě usnesení vlády ze dne 14. března 2018 č. 167 k přesunu agendy udržitelného rozvoje se realizátorem projektu stalo MŽP</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u w:val="single"/>
          <w:lang w:eastAsia="cs-CZ"/>
        </w:rPr>
        <w:t>Míra podpory – rozpad zdrojů financování:</w:t>
      </w:r>
      <w:r w:rsidRPr="0068671A">
        <w:rPr>
          <w:rFonts w:ascii="Arial" w:hAnsi="Arial" w:cs="Arial"/>
          <w:szCs w:val="24"/>
          <w:lang w:eastAsia="cs-CZ"/>
        </w:rPr>
        <w:t xml:space="preserve"> EU podíl 80,86 %; státní rozpočet 19,14 %</w:t>
      </w:r>
    </w:p>
    <w:p w:rsidR="0068671A" w:rsidRPr="0068671A" w:rsidRDefault="0068671A" w:rsidP="0068671A">
      <w:pPr>
        <w:keepNext/>
        <w:spacing w:before="120" w:after="120"/>
        <w:outlineLvl w:val="0"/>
        <w:rPr>
          <w:rFonts w:ascii="Arial" w:hAnsi="Arial" w:cs="Arial"/>
          <w:b/>
          <w:bCs/>
          <w:sz w:val="28"/>
          <w:szCs w:val="24"/>
          <w:lang w:eastAsia="cs-CZ"/>
        </w:rPr>
      </w:pP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keepNext/>
        <w:spacing w:before="120" w:after="120"/>
        <w:outlineLvl w:val="0"/>
        <w:rPr>
          <w:rFonts w:ascii="Arial" w:hAnsi="Arial" w:cs="Arial"/>
          <w:b/>
          <w:bCs/>
          <w:sz w:val="28"/>
          <w:szCs w:val="24"/>
          <w:lang w:eastAsia="cs-CZ"/>
        </w:rPr>
      </w:pPr>
    </w:p>
    <w:p w:rsidR="0068671A" w:rsidRPr="0068671A" w:rsidRDefault="0068671A" w:rsidP="0068671A">
      <w:pPr>
        <w:keepNext/>
        <w:spacing w:before="120" w:after="120"/>
        <w:outlineLvl w:val="0"/>
        <w:rPr>
          <w:rFonts w:ascii="Arial" w:hAnsi="Arial" w:cs="Arial"/>
          <w:b/>
          <w:bCs/>
          <w:sz w:val="28"/>
          <w:szCs w:val="24"/>
          <w:lang w:eastAsia="cs-CZ"/>
        </w:rPr>
      </w:pPr>
      <w:r w:rsidRPr="0068671A">
        <w:rPr>
          <w:rFonts w:ascii="Arial" w:hAnsi="Arial" w:cs="Arial"/>
          <w:b/>
          <w:bCs/>
          <w:sz w:val="28"/>
          <w:szCs w:val="24"/>
          <w:lang w:eastAsia="cs-CZ"/>
        </w:rPr>
        <w:br w:type="page"/>
      </w:r>
    </w:p>
    <w:p w:rsidR="0068671A" w:rsidRPr="0068671A" w:rsidRDefault="0068671A" w:rsidP="0068671A">
      <w:pPr>
        <w:keepNext/>
        <w:spacing w:before="120" w:after="120"/>
        <w:outlineLvl w:val="0"/>
        <w:rPr>
          <w:rFonts w:ascii="Arial" w:hAnsi="Arial" w:cs="Arial"/>
          <w:b/>
          <w:bCs/>
          <w:sz w:val="28"/>
          <w:szCs w:val="24"/>
          <w:lang w:eastAsia="cs-CZ"/>
        </w:rPr>
      </w:pPr>
      <w:r w:rsidRPr="0068671A">
        <w:rPr>
          <w:rFonts w:ascii="Arial" w:hAnsi="Arial" w:cs="Arial"/>
          <w:b/>
          <w:bCs/>
          <w:sz w:val="28"/>
          <w:szCs w:val="24"/>
          <w:lang w:eastAsia="cs-CZ"/>
        </w:rPr>
        <w:lastRenderedPageBreak/>
        <w:t>Cíle projektu</w:t>
      </w:r>
    </w:p>
    <w:p w:rsidR="0068671A" w:rsidRPr="0068671A" w:rsidRDefault="0068671A" w:rsidP="0068671A">
      <w:pPr>
        <w:numPr>
          <w:ilvl w:val="0"/>
          <w:numId w:val="2"/>
        </w:numPr>
        <w:spacing w:after="120"/>
        <w:contextualSpacing/>
        <w:jc w:val="both"/>
        <w:rPr>
          <w:rFonts w:ascii="Arial" w:hAnsi="Arial" w:cs="Arial"/>
          <w:szCs w:val="24"/>
          <w:lang w:eastAsia="cs-CZ"/>
        </w:rPr>
      </w:pPr>
      <w:r w:rsidRPr="0068671A">
        <w:rPr>
          <w:rFonts w:ascii="Arial" w:hAnsi="Arial" w:cs="Arial"/>
          <w:szCs w:val="24"/>
          <w:lang w:eastAsia="cs-CZ"/>
        </w:rPr>
        <w:t>Zajištění aktualizace a evaluace strategických dokumentů udržitelného rozvoje ČR.</w:t>
      </w:r>
    </w:p>
    <w:p w:rsidR="0068671A" w:rsidRPr="0068671A" w:rsidRDefault="0068671A" w:rsidP="0068671A">
      <w:pPr>
        <w:numPr>
          <w:ilvl w:val="0"/>
          <w:numId w:val="2"/>
        </w:numPr>
        <w:spacing w:after="120"/>
        <w:contextualSpacing/>
        <w:jc w:val="both"/>
        <w:rPr>
          <w:rFonts w:ascii="Arial" w:hAnsi="Arial" w:cs="Arial"/>
          <w:szCs w:val="24"/>
          <w:lang w:eastAsia="cs-CZ"/>
        </w:rPr>
      </w:pPr>
      <w:r w:rsidRPr="0068671A">
        <w:rPr>
          <w:rFonts w:ascii="Arial" w:hAnsi="Arial" w:cs="Arial"/>
          <w:szCs w:val="24"/>
          <w:lang w:eastAsia="cs-CZ"/>
        </w:rPr>
        <w:t>Nastavení procesů sledování rozvoje udržitelného rozvoje.</w:t>
      </w:r>
    </w:p>
    <w:p w:rsidR="0068671A" w:rsidRPr="0068671A" w:rsidRDefault="0068671A" w:rsidP="0068671A">
      <w:pPr>
        <w:numPr>
          <w:ilvl w:val="0"/>
          <w:numId w:val="2"/>
        </w:numPr>
        <w:spacing w:after="120"/>
        <w:contextualSpacing/>
        <w:jc w:val="both"/>
        <w:rPr>
          <w:rFonts w:ascii="Arial" w:hAnsi="Arial" w:cs="Arial"/>
          <w:szCs w:val="24"/>
          <w:lang w:eastAsia="cs-CZ"/>
        </w:rPr>
      </w:pPr>
      <w:r w:rsidRPr="0068671A">
        <w:rPr>
          <w:rFonts w:ascii="Arial" w:hAnsi="Arial" w:cs="Arial"/>
          <w:szCs w:val="24"/>
          <w:lang w:eastAsia="cs-CZ"/>
        </w:rPr>
        <w:t>Vytvořit návrh zlepšení systému odhadu dopadů a zajišťování koherence politik v ČR.</w:t>
      </w:r>
    </w:p>
    <w:p w:rsidR="0068671A" w:rsidRPr="0068671A" w:rsidRDefault="0068671A" w:rsidP="0068671A">
      <w:pPr>
        <w:numPr>
          <w:ilvl w:val="0"/>
          <w:numId w:val="2"/>
        </w:numPr>
        <w:spacing w:after="120"/>
        <w:contextualSpacing/>
        <w:jc w:val="both"/>
        <w:rPr>
          <w:rFonts w:ascii="Arial" w:hAnsi="Arial" w:cs="Arial"/>
          <w:szCs w:val="24"/>
          <w:lang w:eastAsia="cs-CZ"/>
        </w:rPr>
      </w:pPr>
      <w:r w:rsidRPr="0068671A">
        <w:rPr>
          <w:rFonts w:ascii="Arial" w:hAnsi="Arial" w:cs="Arial"/>
          <w:szCs w:val="24"/>
          <w:lang w:eastAsia="cs-CZ"/>
        </w:rPr>
        <w:t>Zvýšení informovanosti veřejnosti o politikách udržitelného rozvoje a jejích nástrojích a její zapojení do procesu implementace a hodnocení naplňování ČR</w:t>
      </w:r>
      <w:r>
        <w:rPr>
          <w:rFonts w:ascii="Arial" w:hAnsi="Arial" w:cs="Arial"/>
          <w:szCs w:val="24"/>
          <w:lang w:eastAsia="cs-CZ"/>
        </w:rPr>
        <w:t> </w:t>
      </w:r>
      <w:r w:rsidRPr="0068671A">
        <w:rPr>
          <w:rFonts w:ascii="Arial" w:hAnsi="Arial" w:cs="Arial"/>
          <w:szCs w:val="24"/>
          <w:lang w:eastAsia="cs-CZ"/>
        </w:rPr>
        <w:t xml:space="preserve">2030. </w:t>
      </w:r>
    </w:p>
    <w:p w:rsidR="0068671A" w:rsidRPr="0068671A" w:rsidRDefault="0068671A" w:rsidP="0068671A">
      <w:pPr>
        <w:keepNext/>
        <w:spacing w:before="120" w:after="120"/>
        <w:outlineLvl w:val="0"/>
        <w:rPr>
          <w:rFonts w:ascii="Arial" w:hAnsi="Arial" w:cs="Arial"/>
          <w:b/>
          <w:bCs/>
          <w:sz w:val="28"/>
          <w:szCs w:val="24"/>
          <w:lang w:eastAsia="cs-CZ"/>
        </w:rPr>
      </w:pPr>
    </w:p>
    <w:p w:rsidR="0068671A" w:rsidRPr="0068671A" w:rsidRDefault="0068671A" w:rsidP="0068671A">
      <w:pPr>
        <w:keepNext/>
        <w:spacing w:before="120" w:after="120"/>
        <w:outlineLvl w:val="0"/>
        <w:rPr>
          <w:rFonts w:ascii="Arial" w:hAnsi="Arial" w:cs="Arial"/>
          <w:b/>
          <w:bCs/>
          <w:sz w:val="28"/>
          <w:szCs w:val="24"/>
          <w:lang w:eastAsia="cs-CZ"/>
        </w:rPr>
      </w:pPr>
      <w:r w:rsidRPr="0068671A">
        <w:rPr>
          <w:rFonts w:ascii="Arial" w:hAnsi="Arial" w:cs="Arial"/>
          <w:b/>
          <w:bCs/>
          <w:sz w:val="28"/>
          <w:szCs w:val="24"/>
          <w:lang w:eastAsia="cs-CZ"/>
        </w:rPr>
        <w:t>Návrh klíčových aktivit</w:t>
      </w:r>
    </w:p>
    <w:p w:rsidR="0068671A" w:rsidRPr="0068671A" w:rsidRDefault="0068671A" w:rsidP="0068671A">
      <w:pPr>
        <w:spacing w:after="120"/>
        <w:jc w:val="both"/>
        <w:rPr>
          <w:rFonts w:ascii="Arial" w:hAnsi="Arial" w:cs="Arial"/>
          <w:b/>
          <w:szCs w:val="24"/>
          <w:lang w:eastAsia="cs-CZ"/>
        </w:rPr>
      </w:pPr>
      <w:r w:rsidRPr="0068671A">
        <w:rPr>
          <w:rFonts w:ascii="Arial" w:hAnsi="Arial" w:cs="Arial"/>
          <w:b/>
          <w:szCs w:val="24"/>
          <w:lang w:eastAsia="cs-CZ"/>
        </w:rPr>
        <w:t>Klíčová aktivita č. 1: Podpora implementace Strategického rámce Česká republika 2030</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Základním mechanismem prosazování principů udržitelného rozvoje je existence strategických dokumentů udržitelného rozvoje. Strategický rámec ČR 2030 stanovuje dlouhodobé priority a cíle komplexního rozvoje České republiky do roku 2030. Cíle ČR 2030 mají být zohledněny v sektorových a resortních strategiích a zde dále rozpracovány.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Způsob naplňování cílů ČR 2030 specifikuje IP ČR 2030, který obsahuje 277 opatření a</w:t>
      </w:r>
      <w:r>
        <w:rPr>
          <w:rFonts w:ascii="Arial" w:hAnsi="Arial" w:cs="Arial"/>
          <w:szCs w:val="24"/>
          <w:lang w:eastAsia="cs-CZ"/>
        </w:rPr>
        <w:t> </w:t>
      </w:r>
      <w:r w:rsidRPr="0068671A">
        <w:rPr>
          <w:rFonts w:ascii="Arial" w:hAnsi="Arial" w:cs="Arial"/>
          <w:szCs w:val="24"/>
          <w:lang w:eastAsia="cs-CZ"/>
        </w:rPr>
        <w:t>322</w:t>
      </w:r>
      <w:r>
        <w:rPr>
          <w:rFonts w:ascii="Arial" w:hAnsi="Arial" w:cs="Arial"/>
          <w:szCs w:val="24"/>
          <w:lang w:eastAsia="cs-CZ"/>
        </w:rPr>
        <w:t> </w:t>
      </w:r>
      <w:r w:rsidRPr="0068671A">
        <w:rPr>
          <w:rFonts w:ascii="Arial" w:hAnsi="Arial" w:cs="Arial"/>
          <w:szCs w:val="24"/>
          <w:lang w:eastAsia="cs-CZ"/>
        </w:rPr>
        <w:t>doporučení vedoucích k naplnění 27 strategických cílů ČR 2030.  Opatření a</w:t>
      </w:r>
      <w:r>
        <w:rPr>
          <w:rFonts w:ascii="Arial" w:hAnsi="Arial" w:cs="Arial"/>
          <w:szCs w:val="24"/>
          <w:lang w:eastAsia="cs-CZ"/>
        </w:rPr>
        <w:t> </w:t>
      </w:r>
      <w:r w:rsidRPr="0068671A">
        <w:rPr>
          <w:rFonts w:ascii="Arial" w:hAnsi="Arial" w:cs="Arial"/>
          <w:szCs w:val="24"/>
          <w:lang w:eastAsia="cs-CZ"/>
        </w:rPr>
        <w:t>doporučení nelze chápat jako kompletní výčet všech aktivit pro naplnění cílů ČR 2030 a</w:t>
      </w:r>
      <w:r>
        <w:rPr>
          <w:rFonts w:ascii="Arial" w:hAnsi="Arial" w:cs="Arial"/>
          <w:szCs w:val="24"/>
          <w:lang w:eastAsia="cs-CZ"/>
        </w:rPr>
        <w:t> </w:t>
      </w:r>
      <w:r w:rsidRPr="0068671A">
        <w:rPr>
          <w:rFonts w:ascii="Arial" w:hAnsi="Arial" w:cs="Arial"/>
          <w:szCs w:val="24"/>
          <w:lang w:eastAsia="cs-CZ"/>
        </w:rPr>
        <w:t>prosazení principů udržitelného rozvoje v ČR.</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Implementační plán má být po prvé aktualizován do konce roku 2020, ČR 2030 pak do konce roku 2023. Klíčová aktivita se zaměřuje proto na zajištění evaluace a aktualizace ČR 2030 a zajištění odborné expertizy na straně gestora (MŽP) a </w:t>
      </w:r>
      <w:proofErr w:type="spellStart"/>
      <w:r w:rsidRPr="0068671A">
        <w:rPr>
          <w:rFonts w:ascii="Arial" w:hAnsi="Arial" w:cs="Arial"/>
          <w:szCs w:val="24"/>
          <w:lang w:eastAsia="cs-CZ"/>
        </w:rPr>
        <w:t>spolugestora</w:t>
      </w:r>
      <w:proofErr w:type="spellEnd"/>
      <w:r w:rsidRPr="0068671A">
        <w:rPr>
          <w:rFonts w:ascii="Arial" w:hAnsi="Arial" w:cs="Arial"/>
          <w:szCs w:val="24"/>
          <w:lang w:eastAsia="cs-CZ"/>
        </w:rPr>
        <w:t xml:space="preserve"> (MMR) agendy udržitelného rozvoje v podobě garanta pro každou z šesti klíčových oblastí ČR 2030.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Úspěch evaluace a aktualizace dále předpokládá:</w:t>
      </w:r>
    </w:p>
    <w:p w:rsidR="0068671A" w:rsidRPr="0068671A" w:rsidRDefault="0068671A" w:rsidP="0068671A">
      <w:pPr>
        <w:numPr>
          <w:ilvl w:val="0"/>
          <w:numId w:val="3"/>
        </w:numPr>
        <w:spacing w:after="120"/>
        <w:contextualSpacing/>
        <w:jc w:val="both"/>
        <w:rPr>
          <w:rFonts w:ascii="Arial" w:hAnsi="Arial" w:cs="Arial"/>
          <w:szCs w:val="24"/>
          <w:lang w:eastAsia="cs-CZ"/>
        </w:rPr>
      </w:pPr>
      <w:r w:rsidRPr="0068671A">
        <w:rPr>
          <w:rFonts w:ascii="Arial" w:hAnsi="Arial" w:cs="Arial"/>
          <w:szCs w:val="24"/>
          <w:lang w:eastAsia="cs-CZ"/>
        </w:rPr>
        <w:t>dostupná data a indikátory pro monitoring (ČSÚ, CENIA);</w:t>
      </w:r>
    </w:p>
    <w:p w:rsidR="0068671A" w:rsidRPr="0068671A" w:rsidRDefault="0068671A" w:rsidP="0068671A">
      <w:pPr>
        <w:numPr>
          <w:ilvl w:val="0"/>
          <w:numId w:val="3"/>
        </w:numPr>
        <w:spacing w:after="120"/>
        <w:contextualSpacing/>
        <w:jc w:val="both"/>
        <w:rPr>
          <w:rFonts w:ascii="Arial" w:hAnsi="Arial" w:cs="Arial"/>
          <w:szCs w:val="24"/>
          <w:lang w:eastAsia="cs-CZ"/>
        </w:rPr>
      </w:pPr>
      <w:r w:rsidRPr="0068671A">
        <w:rPr>
          <w:rFonts w:ascii="Arial" w:hAnsi="Arial" w:cs="Arial"/>
          <w:szCs w:val="24"/>
          <w:lang w:eastAsia="cs-CZ"/>
        </w:rPr>
        <w:t>zapojení veřejnosti do procesu evaluace a aktualizace obou dokumentů (MŽP);</w:t>
      </w:r>
    </w:p>
    <w:p w:rsidR="0068671A" w:rsidRPr="0068671A" w:rsidRDefault="0068671A" w:rsidP="0068671A">
      <w:pPr>
        <w:numPr>
          <w:ilvl w:val="0"/>
          <w:numId w:val="3"/>
        </w:numPr>
        <w:spacing w:after="120"/>
        <w:contextualSpacing/>
        <w:jc w:val="both"/>
        <w:rPr>
          <w:rFonts w:ascii="Arial" w:hAnsi="Arial" w:cs="Arial"/>
          <w:szCs w:val="24"/>
          <w:lang w:eastAsia="cs-CZ"/>
        </w:rPr>
      </w:pPr>
      <w:r w:rsidRPr="0068671A">
        <w:rPr>
          <w:rFonts w:ascii="Arial" w:hAnsi="Arial" w:cs="Arial"/>
          <w:szCs w:val="24"/>
          <w:lang w:eastAsia="cs-CZ"/>
        </w:rPr>
        <w:t xml:space="preserve">vyhodnocení relevance cílů ČR 2030 pro municipální úroveň (MMR); </w:t>
      </w:r>
    </w:p>
    <w:p w:rsidR="0068671A" w:rsidRPr="0068671A" w:rsidRDefault="0068671A" w:rsidP="0068671A">
      <w:pPr>
        <w:numPr>
          <w:ilvl w:val="0"/>
          <w:numId w:val="3"/>
        </w:numPr>
        <w:spacing w:after="120"/>
        <w:contextualSpacing/>
        <w:jc w:val="both"/>
        <w:rPr>
          <w:rFonts w:ascii="Arial" w:hAnsi="Arial" w:cs="Arial"/>
          <w:szCs w:val="24"/>
          <w:lang w:eastAsia="cs-CZ"/>
        </w:rPr>
      </w:pPr>
      <w:r w:rsidRPr="0068671A">
        <w:rPr>
          <w:rFonts w:ascii="Arial" w:hAnsi="Arial" w:cs="Arial"/>
          <w:szCs w:val="24"/>
          <w:lang w:eastAsia="cs-CZ"/>
        </w:rPr>
        <w:t xml:space="preserve">analýza koherence politik z hlediska příjemců politik (MŽP). </w:t>
      </w:r>
    </w:p>
    <w:p w:rsidR="0068671A" w:rsidRPr="0068671A" w:rsidRDefault="0068671A" w:rsidP="0068671A">
      <w:pPr>
        <w:spacing w:after="120"/>
        <w:jc w:val="both"/>
        <w:rPr>
          <w:rFonts w:ascii="Arial" w:hAnsi="Arial" w:cs="Arial"/>
          <w:szCs w:val="24"/>
          <w:u w:val="single"/>
          <w:lang w:eastAsia="cs-CZ"/>
        </w:rPr>
      </w:pPr>
    </w:p>
    <w:p w:rsidR="0068671A" w:rsidRPr="0068671A" w:rsidRDefault="0068671A" w:rsidP="0068671A">
      <w:pPr>
        <w:spacing w:after="120"/>
        <w:jc w:val="both"/>
        <w:rPr>
          <w:rFonts w:ascii="Arial" w:hAnsi="Arial" w:cs="Arial"/>
          <w:szCs w:val="24"/>
          <w:u w:val="single"/>
          <w:lang w:eastAsia="cs-CZ"/>
        </w:rPr>
      </w:pPr>
      <w:r w:rsidRPr="0068671A">
        <w:rPr>
          <w:rFonts w:ascii="Arial" w:hAnsi="Arial" w:cs="Arial"/>
          <w:szCs w:val="24"/>
          <w:u w:val="single"/>
          <w:lang w:eastAsia="cs-CZ"/>
        </w:rPr>
        <w:t>Ad 1) Zajištění indikátorů pro Zprávu o kvalitě života a udržitelnosti</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V rámci KA bude navržen soubor indikátorů pro komunikační účely, který z těchto dvou sad indikátorů a indikátorů Agendy 2030 (viz KA 2), tj. z celkem více než 450 indikátorů (ČR 2030 192, Agenda 2030 137 a kvalita života 140), vybere stručnou komunikační sadu vypovídající o naplňování udržitelného rozvoje v ČR.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lastRenderedPageBreak/>
        <w:t xml:space="preserve">Navržení tohoto souboru indikátorů vyžaduje konsolidaci a vyhodnocení dvou indikátorových souborů: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A)</w:t>
      </w:r>
      <w:r w:rsidRPr="0068671A">
        <w:rPr>
          <w:rFonts w:ascii="Arial" w:hAnsi="Arial" w:cs="Arial"/>
          <w:szCs w:val="24"/>
          <w:lang w:eastAsia="cs-CZ"/>
        </w:rPr>
        <w:tab/>
        <w:t>indikátorů specifických cílů ČR 2030</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B)</w:t>
      </w:r>
      <w:r w:rsidRPr="0068671A">
        <w:rPr>
          <w:rFonts w:ascii="Arial" w:hAnsi="Arial" w:cs="Arial"/>
          <w:szCs w:val="24"/>
          <w:lang w:eastAsia="cs-CZ"/>
        </w:rPr>
        <w:tab/>
        <w:t>indikátorů kvality života</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Pro obě indikátorové sady se předpokládá podobná struktura činnosti:</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 xml:space="preserve">vytvoření přehledu odpovědných institucí a kontaktních osob pro potřeby předávání dat (tzv. </w:t>
      </w:r>
      <w:proofErr w:type="spellStart"/>
      <w:r w:rsidRPr="0068671A">
        <w:rPr>
          <w:rFonts w:ascii="Arial" w:hAnsi="Arial" w:cs="Arial"/>
          <w:szCs w:val="24"/>
          <w:lang w:eastAsia="cs-CZ"/>
        </w:rPr>
        <w:t>focal</w:t>
      </w:r>
      <w:proofErr w:type="spellEnd"/>
      <w:r w:rsidRPr="0068671A">
        <w:rPr>
          <w:rFonts w:ascii="Arial" w:hAnsi="Arial" w:cs="Arial"/>
          <w:szCs w:val="24"/>
          <w:lang w:eastAsia="cs-CZ"/>
        </w:rPr>
        <w:t xml:space="preserve"> pointů k indikátorům)</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koordinace sběru dat (ČR 2030: 192 indikátorů; kvalita života: 110 indikátorů vč.</w:t>
      </w:r>
      <w:r>
        <w:rPr>
          <w:rFonts w:ascii="Arial" w:hAnsi="Arial" w:cs="Arial"/>
          <w:szCs w:val="24"/>
          <w:lang w:eastAsia="cs-CZ"/>
        </w:rPr>
        <w:t> </w:t>
      </w:r>
      <w:r w:rsidRPr="0068671A">
        <w:rPr>
          <w:rFonts w:ascii="Arial" w:hAnsi="Arial" w:cs="Arial"/>
          <w:szCs w:val="24"/>
          <w:lang w:eastAsia="cs-CZ"/>
        </w:rPr>
        <w:t>potřebného členění)</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koordinace sběru dat na ČSÚ (ČR 2030: 55 indikátorů; kvalita života: 110 indikátorů vč. potřebného členění)</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u statistických ukazatelů posuzování metodiky výběru respondentů, metodiky sběru dat, technologie zpracování dat včetně posouzení systémů kontrol a</w:t>
      </w:r>
      <w:r>
        <w:rPr>
          <w:rFonts w:ascii="Arial" w:hAnsi="Arial" w:cs="Arial"/>
          <w:szCs w:val="24"/>
          <w:lang w:eastAsia="cs-CZ"/>
        </w:rPr>
        <w:t> </w:t>
      </w:r>
      <w:r w:rsidRPr="0068671A">
        <w:rPr>
          <w:rFonts w:ascii="Arial" w:hAnsi="Arial" w:cs="Arial"/>
          <w:szCs w:val="24"/>
          <w:lang w:eastAsia="cs-CZ"/>
        </w:rPr>
        <w:t>validačních procesů</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posuzování koherence dat k ČR 2030 s daty ostatních statistik a rovněž posuzování schopnosti jejich meziročního porovnání</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u nestatistických indikátorů spolupráce s poskytovateli na vytváření metodických popisů</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 xml:space="preserve">u nedostupných indikátorů hledání zdrojů dat, navrhovat </w:t>
      </w:r>
      <w:proofErr w:type="spellStart"/>
      <w:r w:rsidRPr="0068671A">
        <w:rPr>
          <w:rFonts w:ascii="Arial" w:hAnsi="Arial" w:cs="Arial"/>
          <w:szCs w:val="24"/>
          <w:lang w:eastAsia="cs-CZ"/>
        </w:rPr>
        <w:t>proxy</w:t>
      </w:r>
      <w:proofErr w:type="spellEnd"/>
      <w:r w:rsidRPr="0068671A">
        <w:rPr>
          <w:rFonts w:ascii="Arial" w:hAnsi="Arial" w:cs="Arial"/>
          <w:szCs w:val="24"/>
          <w:lang w:eastAsia="cs-CZ"/>
        </w:rPr>
        <w:t xml:space="preserve"> indikátory, navrhovat formy zjišťování pro nedostupné údaje</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vytvoření databáze s potřebnými daty</w:t>
      </w:r>
    </w:p>
    <w:p w:rsidR="0068671A" w:rsidRPr="0068671A" w:rsidRDefault="0068671A" w:rsidP="0068671A">
      <w:pPr>
        <w:numPr>
          <w:ilvl w:val="0"/>
          <w:numId w:val="4"/>
        </w:numPr>
        <w:spacing w:after="120"/>
        <w:contextualSpacing/>
        <w:jc w:val="both"/>
        <w:rPr>
          <w:rFonts w:ascii="Arial" w:hAnsi="Arial" w:cs="Arial"/>
          <w:szCs w:val="24"/>
          <w:lang w:eastAsia="cs-CZ"/>
        </w:rPr>
      </w:pPr>
      <w:r w:rsidRPr="0068671A">
        <w:rPr>
          <w:rFonts w:ascii="Arial" w:hAnsi="Arial" w:cs="Arial"/>
          <w:szCs w:val="24"/>
          <w:lang w:eastAsia="cs-CZ"/>
        </w:rPr>
        <w:t>příprava podkladů pro zasedání Výboru pro indikátory Rady vlády pro udržitelný rozvoj za účelem koordinace a získání zpětné vazby.</w:t>
      </w:r>
    </w:p>
    <w:p w:rsid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Pro jednotlivé indikátorové sady pak budou zohledněna následující specifika: </w:t>
      </w:r>
    </w:p>
    <w:p w:rsidR="0068671A" w:rsidRPr="0068671A" w:rsidRDefault="0068671A" w:rsidP="0068671A">
      <w:pPr>
        <w:spacing w:after="120"/>
        <w:contextualSpacing/>
        <w:jc w:val="both"/>
        <w:rPr>
          <w:rFonts w:ascii="Arial" w:hAnsi="Arial" w:cs="Arial"/>
          <w:szCs w:val="24"/>
          <w:lang w:eastAsia="cs-CZ"/>
        </w:rPr>
      </w:pPr>
      <w:r w:rsidRPr="0068671A">
        <w:rPr>
          <w:rFonts w:ascii="Arial" w:hAnsi="Arial" w:cs="Arial"/>
          <w:szCs w:val="24"/>
          <w:lang w:eastAsia="cs-CZ"/>
        </w:rPr>
        <w:t>ad A) vyhodnocení naplňování České republiky 2030 na úrovni cílů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zpracování dat z mezinárodních databází (1 indikátor)</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návrh řešení indikátorů bez gestorů (18 indikátorů)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stanovení base-line </w:t>
      </w:r>
      <w:proofErr w:type="spellStart"/>
      <w:r w:rsidRPr="0068671A">
        <w:rPr>
          <w:rFonts w:ascii="Arial" w:hAnsi="Arial" w:cs="Arial"/>
          <w:szCs w:val="24"/>
          <w:lang w:eastAsia="cs-CZ"/>
        </w:rPr>
        <w:t>value</w:t>
      </w:r>
      <w:proofErr w:type="spellEnd"/>
      <w:r w:rsidRPr="0068671A">
        <w:rPr>
          <w:rFonts w:ascii="Arial" w:hAnsi="Arial" w:cs="Arial"/>
          <w:szCs w:val="24"/>
          <w:lang w:eastAsia="cs-CZ"/>
        </w:rPr>
        <w:t xml:space="preserve"> k roku 2017 (zvážit zahrnutí 20 tzv. „šedých“, experimentálních a v ČR dosud nevyužívaných indikátorů)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navrhovat změny v indikátorové sadě pro revize ČR 2030</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návrh zpřesňování dat pro indikátorovou sadu</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návrh jednotného formátu a zpracování dat do podoby pro snazší předání dat k</w:t>
      </w:r>
      <w:r>
        <w:rPr>
          <w:rFonts w:ascii="Arial" w:hAnsi="Arial" w:cs="Arial"/>
          <w:szCs w:val="24"/>
          <w:lang w:eastAsia="cs-CZ"/>
        </w:rPr>
        <w:t> </w:t>
      </w:r>
      <w:r w:rsidRPr="0068671A">
        <w:rPr>
          <w:rFonts w:ascii="Arial" w:hAnsi="Arial" w:cs="Arial"/>
          <w:szCs w:val="24"/>
          <w:lang w:eastAsia="cs-CZ"/>
        </w:rPr>
        <w:t xml:space="preserve">vyhodnocení cílů pro potřeby Zprávy o kvalitě života a její udržitelnosti v ČR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metodická spolupráce na přípravě první a druhé Zprávy o kvalitě života a její udržitelnosti v ČR v roce 2020 a její aktualizace v roce 2023;</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ad B) vyhodnocení dostupných indikátorů kvality života v České republice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v rámci projektu Udržitelný rozvoj státu (</w:t>
      </w:r>
      <w:proofErr w:type="spellStart"/>
      <w:r w:rsidRPr="0068671A">
        <w:rPr>
          <w:rFonts w:ascii="Arial" w:hAnsi="Arial" w:cs="Arial"/>
          <w:szCs w:val="24"/>
          <w:lang w:eastAsia="cs-CZ"/>
        </w:rPr>
        <w:t>reg</w:t>
      </w:r>
      <w:proofErr w:type="spellEnd"/>
      <w:r w:rsidRPr="0068671A">
        <w:rPr>
          <w:rFonts w:ascii="Arial" w:hAnsi="Arial" w:cs="Arial"/>
          <w:szCs w:val="24"/>
          <w:lang w:eastAsia="cs-CZ"/>
        </w:rPr>
        <w:t xml:space="preserve">. č. CZ.03.4.74/0.0/0.0/15_019/0002185) byla vytvořena sada indikátorů pro měření kvality života obsahující celkem 140 indikátorů, z toho 94 existujících a pravidelně </w:t>
      </w:r>
      <w:r w:rsidRPr="0068671A">
        <w:rPr>
          <w:rFonts w:ascii="Arial" w:hAnsi="Arial" w:cs="Arial"/>
          <w:szCs w:val="24"/>
          <w:lang w:eastAsia="cs-CZ"/>
        </w:rPr>
        <w:lastRenderedPageBreak/>
        <w:t>sledovaných a 42 zcela či částečně nových, tj. doposud nesledovaných (blíže viz zde) v 11 tematických oblastech  kvality života – Perspektiva kvality života umožňuje pohlížet na rozvoj ČR nikoliv z hlediska standardních makroekonomických ukazatelů, nýbrž měřením příjmu a spotřeby domácností a</w:t>
      </w:r>
      <w:r>
        <w:rPr>
          <w:rFonts w:ascii="Arial" w:hAnsi="Arial" w:cs="Arial"/>
          <w:szCs w:val="24"/>
          <w:lang w:eastAsia="cs-CZ"/>
        </w:rPr>
        <w:t> </w:t>
      </w:r>
      <w:r w:rsidRPr="0068671A">
        <w:rPr>
          <w:rFonts w:ascii="Arial" w:hAnsi="Arial" w:cs="Arial"/>
          <w:szCs w:val="24"/>
          <w:lang w:eastAsia="cs-CZ"/>
        </w:rPr>
        <w:t xml:space="preserve">bohatství z hlediska zdrojů pro udržitelnost. Umožňuje tak komplexní pohled i na další významná mimoekonomická (netržní) hlediska (např. disponibilitu volným časem, rodinný </w:t>
      </w:r>
      <w:proofErr w:type="gramStart"/>
      <w:r w:rsidRPr="0068671A">
        <w:rPr>
          <w:rFonts w:ascii="Arial" w:hAnsi="Arial" w:cs="Arial"/>
          <w:szCs w:val="24"/>
          <w:lang w:eastAsia="cs-CZ"/>
        </w:rPr>
        <w:t>život,</w:t>
      </w:r>
      <w:proofErr w:type="gramEnd"/>
      <w:r w:rsidRPr="0068671A">
        <w:rPr>
          <w:rFonts w:ascii="Arial" w:hAnsi="Arial" w:cs="Arial"/>
          <w:szCs w:val="24"/>
          <w:lang w:eastAsia="cs-CZ"/>
        </w:rPr>
        <w:t xml:space="preserve"> atd.).</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Součástí aktivity bude ověření vypovídací schopnosti navržených indikátorů a</w:t>
      </w:r>
      <w:r>
        <w:rPr>
          <w:rFonts w:ascii="Arial" w:hAnsi="Arial" w:cs="Arial"/>
          <w:szCs w:val="24"/>
          <w:lang w:eastAsia="cs-CZ"/>
        </w:rPr>
        <w:t> </w:t>
      </w:r>
      <w:r w:rsidRPr="0068671A">
        <w:rPr>
          <w:rFonts w:ascii="Arial" w:hAnsi="Arial" w:cs="Arial"/>
          <w:szCs w:val="24"/>
          <w:lang w:eastAsia="cs-CZ"/>
        </w:rPr>
        <w:t xml:space="preserve">příp. aktualizace indikátorového souboru pro danou oblast kvality života. Dosud byly identifikovány nedostatky v oblastech Příjem a bohatství (dominantní zaměření na příjmy) a Bezpečnost (schází subjektivní dimenze).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meziresortní diskuze k navrženým gescím a úpravy gescí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navrhovat změny v indikátorové sadě pro revize Strategického dokumentu ČR 2030</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navržení jednotného formátu a zpracování dat do podoby pro snazší předání dat k vyhodnocení cílů pro potřeby Zprávy o kvalitě života a její udržitelnosti v ČR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vytvoření databáze s potřebnými daty</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zpracování dat do jednotného formátu a podoby pro snazší předání dat k vyhodnocení cílů pro potřeby Zprávy o kvalitě a její udržitelnosti v ČR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metodická spolupráce na přípravě první a druhé Zprávy o kvalitě života a její udržitelnosti v ČR v roce 2020 a v roce 2023.</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u w:val="single"/>
          <w:lang w:eastAsia="cs-CZ"/>
        </w:rPr>
      </w:pPr>
      <w:r w:rsidRPr="0068671A">
        <w:rPr>
          <w:rFonts w:ascii="Arial" w:hAnsi="Arial" w:cs="Arial"/>
          <w:szCs w:val="24"/>
          <w:u w:val="single"/>
          <w:lang w:eastAsia="cs-CZ"/>
        </w:rPr>
        <w:t>Ad 2) Zapojení veřejnosti do aktualizace a evaluace (IP) ČR 2030</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Participativní přístup a pravidelná komunikace (zejména) s (odbornou) veřejností jsou jedním z důležitých předpokladů strategického plánování a řízení. Umožňuje shromáždit a</w:t>
      </w:r>
      <w:r>
        <w:rPr>
          <w:rFonts w:ascii="Arial" w:hAnsi="Arial" w:cs="Arial"/>
          <w:szCs w:val="24"/>
          <w:lang w:eastAsia="cs-CZ"/>
        </w:rPr>
        <w:t> </w:t>
      </w:r>
      <w:r w:rsidRPr="0068671A">
        <w:rPr>
          <w:rFonts w:ascii="Arial" w:hAnsi="Arial" w:cs="Arial"/>
          <w:szCs w:val="24"/>
          <w:lang w:eastAsia="cs-CZ"/>
        </w:rPr>
        <w:t xml:space="preserve">interpretovat relevantní data, zohlednit zkušenost uživatelů a tvůrcům politik dává možnost vysvětlovat jak záměry, tak případná omezení.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Proto je pro vyhodnocení a aktualizaci Implementačního plánu ČR 2030 plánována série kulatých stolů v roce 2020. Kulaté stoly budou zaměřeny na vyhodnocení naplňování opatření a doporučení v 6 klíčových oblastech ČR 2030. Podkladový materiál projednávaný na kulatých stolech připraví realizační tým na základě zprávy gestorů opatření a indikátorů ČR 2030, která by měla být dle aktuálního návrhu Implementačního plánu ČR 2030 předložena ministerstvy do 31. března 2020. Kulaté stoly se uskuteční ve 2-4. Q. 2020 (</w:t>
      </w:r>
      <w:proofErr w:type="gramStart"/>
      <w:r w:rsidRPr="0068671A">
        <w:rPr>
          <w:rFonts w:ascii="Arial" w:hAnsi="Arial" w:cs="Arial"/>
          <w:szCs w:val="24"/>
          <w:lang w:eastAsia="cs-CZ"/>
        </w:rPr>
        <w:t>květen – prosinec</w:t>
      </w:r>
      <w:proofErr w:type="gramEnd"/>
      <w:r w:rsidRPr="0068671A">
        <w:rPr>
          <w:rFonts w:ascii="Arial" w:hAnsi="Arial" w:cs="Arial"/>
          <w:szCs w:val="24"/>
          <w:lang w:eastAsia="cs-CZ"/>
        </w:rPr>
        <w:t xml:space="preserve">). Ke každé z šesti klíčových oblastí ČR 2030 proběhne jeden kulatý stůl v Praze a jeden kulatý stůl v Brně. Praha a Brno byly zvoleny jakožto spádová centra s cílem zajistit co nejširší zpětnou vazbu a podpořit možnost participovat co nejširšího spektra účastníků, tzn. proto nesmí být příliš silně omezena časem ani náklady. Metropolitní oblasti Prahy a Brna zároveň představují centra odborného života, výzkumu a inovací.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Součástí klíčové aktivity bude získání podkladů pro evaluaci a aktualizaci ČR 2030 (v roce 2023) v podobě veřejné zakázky v prvním pololetí roku 2022 (vypsání pol. 2021). Veřejná </w:t>
      </w:r>
      <w:r w:rsidRPr="0068671A">
        <w:rPr>
          <w:rFonts w:ascii="Arial" w:hAnsi="Arial" w:cs="Arial"/>
          <w:szCs w:val="24"/>
          <w:lang w:eastAsia="cs-CZ"/>
        </w:rPr>
        <w:lastRenderedPageBreak/>
        <w:t>zakázka bude vypsána na on-line šetření, jehož se zúčastní alespoň 100 respondentů z</w:t>
      </w:r>
      <w:r>
        <w:rPr>
          <w:rFonts w:ascii="Arial" w:hAnsi="Arial" w:cs="Arial"/>
          <w:szCs w:val="24"/>
          <w:lang w:eastAsia="cs-CZ"/>
        </w:rPr>
        <w:t> </w:t>
      </w:r>
      <w:r w:rsidRPr="0068671A">
        <w:rPr>
          <w:rFonts w:ascii="Arial" w:hAnsi="Arial" w:cs="Arial"/>
          <w:szCs w:val="24"/>
          <w:lang w:eastAsia="cs-CZ"/>
        </w:rPr>
        <w:t>institucí veřejné správy, zaměřené na:</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využití ČR 2030 ve strategické práci - tzn. kvalitativní evaluaci zaměřenou na využívání a respektování ČR 2030 při přípravě nových strategických dokumentů a veřejných politik obecně;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bílá místa ČR 2030 (nové významné trendy a problematiky, které v ní nejsou obsaženy), tj. sběr podnětů pro její aktualizaci;</w:t>
      </w:r>
    </w:p>
    <w:p w:rsidR="0068671A" w:rsidRPr="0068671A" w:rsidRDefault="0068671A" w:rsidP="0068671A">
      <w:pPr>
        <w:numPr>
          <w:ilvl w:val="0"/>
          <w:numId w:val="5"/>
        </w:numPr>
        <w:spacing w:after="120"/>
        <w:contextualSpacing/>
        <w:jc w:val="both"/>
        <w:rPr>
          <w:rFonts w:ascii="Arial" w:hAnsi="Arial" w:cs="Arial"/>
          <w:szCs w:val="24"/>
          <w:lang w:eastAsia="cs-CZ"/>
        </w:rPr>
      </w:pPr>
      <w:proofErr w:type="spellStart"/>
      <w:r w:rsidRPr="0068671A">
        <w:rPr>
          <w:rFonts w:ascii="Arial" w:hAnsi="Arial" w:cs="Arial"/>
          <w:szCs w:val="24"/>
          <w:lang w:eastAsia="cs-CZ"/>
        </w:rPr>
        <w:t>nekoherence</w:t>
      </w:r>
      <w:proofErr w:type="spellEnd"/>
      <w:r w:rsidRPr="0068671A">
        <w:rPr>
          <w:rFonts w:ascii="Arial" w:hAnsi="Arial" w:cs="Arial"/>
          <w:szCs w:val="24"/>
          <w:lang w:eastAsia="cs-CZ"/>
        </w:rPr>
        <w:t xml:space="preserve"> v opatřeních a doporučeních pro naplňování ČR 2030, tj. implementačního plánu ČR 2030.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Výstupem bude zveřejněný podkladový dokument pro evaluaci ČR 2030. </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u w:val="single"/>
          <w:lang w:eastAsia="cs-CZ"/>
        </w:rPr>
      </w:pPr>
      <w:r w:rsidRPr="0068671A">
        <w:rPr>
          <w:rFonts w:ascii="Arial" w:hAnsi="Arial" w:cs="Arial"/>
          <w:szCs w:val="24"/>
          <w:u w:val="single"/>
          <w:lang w:eastAsia="cs-CZ"/>
        </w:rPr>
        <w:t>Ad 3) Vyhodnocení relevance cílů ČR 2030 pro municipální úroveň</w:t>
      </w:r>
    </w:p>
    <w:p w:rsidR="0068671A" w:rsidRPr="0068671A" w:rsidRDefault="0068671A" w:rsidP="0068671A">
      <w:pPr>
        <w:spacing w:after="120"/>
        <w:jc w:val="both"/>
        <w:rPr>
          <w:rFonts w:ascii="Arial" w:hAnsi="Arial" w:cs="Arial"/>
          <w:i/>
          <w:szCs w:val="24"/>
          <w:lang w:eastAsia="cs-CZ"/>
        </w:rPr>
      </w:pPr>
      <w:r>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Důležitým aspektem koordinace naplňování opatření a doporučení aktualizace ČR 2030 je vyhodnocení územní dimenze cílů ČR 2030 a zjištění zpětné vazby od municipálních asociací i představitelů obcí a krajů k využitelnosti ČR 2030 na </w:t>
      </w:r>
      <w:proofErr w:type="spellStart"/>
      <w:r w:rsidRPr="0068671A">
        <w:rPr>
          <w:rFonts w:ascii="Arial" w:hAnsi="Arial" w:cs="Arial"/>
          <w:szCs w:val="24"/>
          <w:lang w:eastAsia="cs-CZ"/>
        </w:rPr>
        <w:t>subnárodní</w:t>
      </w:r>
      <w:proofErr w:type="spellEnd"/>
      <w:r w:rsidRPr="0068671A">
        <w:rPr>
          <w:rFonts w:ascii="Arial" w:hAnsi="Arial" w:cs="Arial"/>
          <w:szCs w:val="24"/>
          <w:lang w:eastAsia="cs-CZ"/>
        </w:rPr>
        <w:t xml:space="preserve"> úrovni. Na základě tohoto vyhodnocení bude navržena úprava existujících metodik pro municipální úroveň a začleňování cílů ČR 2030 do strategického plánování a řízení na úrovni obcí a</w:t>
      </w:r>
      <w:r>
        <w:rPr>
          <w:rFonts w:ascii="Arial" w:hAnsi="Arial" w:cs="Arial"/>
          <w:szCs w:val="24"/>
          <w:lang w:eastAsia="cs-CZ"/>
        </w:rPr>
        <w:t> </w:t>
      </w:r>
      <w:r w:rsidRPr="0068671A">
        <w:rPr>
          <w:rFonts w:ascii="Arial" w:hAnsi="Arial" w:cs="Arial"/>
          <w:szCs w:val="24"/>
          <w:lang w:eastAsia="cs-CZ"/>
        </w:rPr>
        <w:t xml:space="preserve">krajů </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szCs w:val="24"/>
          <w:u w:val="single"/>
          <w:lang w:eastAsia="cs-CZ"/>
        </w:rPr>
      </w:pPr>
      <w:r w:rsidRPr="0068671A">
        <w:rPr>
          <w:rFonts w:ascii="Arial" w:hAnsi="Arial" w:cs="Arial"/>
          <w:szCs w:val="24"/>
          <w:u w:val="single"/>
          <w:lang w:eastAsia="cs-CZ"/>
        </w:rPr>
        <w:t>Ad 4) evaluace koherence z hlediska příjemců</w:t>
      </w:r>
    </w:p>
    <w:p w:rsidR="0068671A" w:rsidRPr="0068671A" w:rsidRDefault="0068671A" w:rsidP="0068671A">
      <w:pPr>
        <w:spacing w:after="120"/>
        <w:jc w:val="both"/>
        <w:rPr>
          <w:rFonts w:ascii="Arial" w:hAnsi="Arial" w:cs="Arial"/>
          <w:i/>
          <w:szCs w:val="24"/>
          <w:lang w:eastAsia="cs-CZ"/>
        </w:rPr>
      </w:pPr>
      <w:r>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Poslední aktivitou související s evaluací politiky udržitelného rozvoje bude i výzkum dopadů strategických dokumentů, resp. opatření na občany. Na 5 modelových životních situacích kombinujících různé Cíle udržitelného rozvoje (schválené jako součást Agendy 2030 pro udržitelný rozvoj Valným shromážděním OSN v září 2015) a cíle ČR 2030 (např. gender, zdraví, nerovnosti, energetika, klimatická změna atp.) budou terénním výzkumem zkoumány a analyzovány </w:t>
      </w:r>
      <w:proofErr w:type="spellStart"/>
      <w:r w:rsidRPr="0068671A">
        <w:rPr>
          <w:rFonts w:ascii="Arial" w:hAnsi="Arial" w:cs="Arial"/>
          <w:szCs w:val="24"/>
          <w:lang w:eastAsia="cs-CZ"/>
        </w:rPr>
        <w:t>nekoherence</w:t>
      </w:r>
      <w:proofErr w:type="spellEnd"/>
      <w:r w:rsidRPr="0068671A">
        <w:rPr>
          <w:rFonts w:ascii="Arial" w:hAnsi="Arial" w:cs="Arial"/>
          <w:szCs w:val="24"/>
          <w:lang w:eastAsia="cs-CZ"/>
        </w:rPr>
        <w:t xml:space="preserve"> politik z hlediska příjemců politik. Zjištění budou využita v rámci klíčové aktivity 5 (popularizace udržitelného rozvoje a kvality života) tak, aby se dal přínos realizace politiky udržitelného rozvoje prezentovat na konkrétních příkladech z lidského života.</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Výstupy</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1 Zpráva o kvalitě života a její udržitelnosti: rozsah 150-220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lastRenderedPageBreak/>
        <w:t>1 podkladový dokument pro evaluaci ČR 2030: rozsah 50-120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5 analýz pro případové studie ne/koherence politik z hlediska jejich příjemců: rozsah 25-60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3 doplňkové analýzy ke klíčovým oblastem ČR 2030 zaměřené na identifikaci nově se objevivších (</w:t>
      </w:r>
      <w:proofErr w:type="spellStart"/>
      <w:r w:rsidRPr="0068671A">
        <w:rPr>
          <w:rFonts w:ascii="Arial" w:hAnsi="Arial" w:cs="Arial"/>
          <w:szCs w:val="24"/>
          <w:lang w:eastAsia="cs-CZ"/>
        </w:rPr>
        <w:t>emerging</w:t>
      </w:r>
      <w:proofErr w:type="spellEnd"/>
      <w:r w:rsidRPr="0068671A">
        <w:rPr>
          <w:rFonts w:ascii="Arial" w:hAnsi="Arial" w:cs="Arial"/>
          <w:szCs w:val="24"/>
          <w:lang w:eastAsia="cs-CZ"/>
        </w:rPr>
        <w:t xml:space="preserve">) problémů a trendů – typově se jedná o témata, jako je využívání big data a datový audit, udržitelné finance a zajištění </w:t>
      </w:r>
      <w:proofErr w:type="spellStart"/>
      <w:r w:rsidRPr="0068671A">
        <w:rPr>
          <w:rFonts w:ascii="Arial" w:hAnsi="Arial" w:cs="Arial"/>
          <w:szCs w:val="24"/>
          <w:lang w:eastAsia="cs-CZ"/>
        </w:rPr>
        <w:t>provazby</w:t>
      </w:r>
      <w:proofErr w:type="spellEnd"/>
      <w:r w:rsidRPr="0068671A">
        <w:rPr>
          <w:rFonts w:ascii="Arial" w:hAnsi="Arial" w:cs="Arial"/>
          <w:szCs w:val="24"/>
          <w:lang w:eastAsia="cs-CZ"/>
        </w:rPr>
        <w:t xml:space="preserve"> ČR 2030 na státní rozpočet, umělá inteligence a její dopady na sociální (zejména důchodový) systém: rozsah 40-90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1 návrh </w:t>
      </w:r>
      <w:proofErr w:type="spellStart"/>
      <w:r w:rsidRPr="0068671A">
        <w:rPr>
          <w:rFonts w:ascii="Arial" w:hAnsi="Arial" w:cs="Arial"/>
          <w:szCs w:val="24"/>
          <w:lang w:eastAsia="cs-CZ"/>
        </w:rPr>
        <w:t>headline</w:t>
      </w:r>
      <w:proofErr w:type="spellEnd"/>
      <w:r w:rsidRPr="0068671A">
        <w:rPr>
          <w:rFonts w:ascii="Arial" w:hAnsi="Arial" w:cs="Arial"/>
          <w:szCs w:val="24"/>
          <w:lang w:eastAsia="cs-CZ"/>
        </w:rPr>
        <w:t xml:space="preserve"> indikátorů: rozsah 15-30 stran, formální úprava dle ČSN 01 6910 (2014) a interních předpisů MŽP, seznam použitých zdrojů, grafů a ilustrací a</w:t>
      </w:r>
      <w:r>
        <w:rPr>
          <w:rFonts w:ascii="Arial" w:hAnsi="Arial" w:cs="Arial"/>
          <w:szCs w:val="24"/>
          <w:lang w:eastAsia="cs-CZ"/>
        </w:rPr>
        <w:t> </w:t>
      </w:r>
      <w:r w:rsidRPr="0068671A">
        <w:rPr>
          <w:rFonts w:ascii="Arial" w:hAnsi="Arial" w:cs="Arial"/>
          <w:szCs w:val="24"/>
          <w:lang w:eastAsia="cs-CZ"/>
        </w:rPr>
        <w:t>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6 podkladů pro kulaté stoly a 6 souhrnných zápisů dle klíčových oblastí (tj. souhrnný zápis z Prahy a Brna)</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konference pro 80 osob v Praze k publikaci Zprávy o kvalitě života</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sběr a vyhodnocení dostupných dat k 172 indikátorům ČR 2030 (bez šedých indikátorů) a stanovení base-line </w:t>
      </w:r>
      <w:proofErr w:type="spellStart"/>
      <w:r w:rsidRPr="0068671A">
        <w:rPr>
          <w:rFonts w:ascii="Arial" w:hAnsi="Arial" w:cs="Arial"/>
          <w:szCs w:val="24"/>
          <w:lang w:eastAsia="cs-CZ"/>
        </w:rPr>
        <w:t>value</w:t>
      </w:r>
      <w:proofErr w:type="spellEnd"/>
      <w:r w:rsidRPr="0068671A">
        <w:rPr>
          <w:rFonts w:ascii="Arial" w:hAnsi="Arial" w:cs="Arial"/>
          <w:szCs w:val="24"/>
          <w:lang w:eastAsia="cs-CZ"/>
        </w:rPr>
        <w:t xml:space="preserve"> k roku 2017 vč. jejich vyhodnocení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sběr dostupných dat k 135 indikátorům kvality života v 11 oblastech dle OECD a</w:t>
      </w:r>
      <w:r>
        <w:rPr>
          <w:rFonts w:ascii="Arial" w:hAnsi="Arial" w:cs="Arial"/>
          <w:szCs w:val="24"/>
          <w:lang w:eastAsia="cs-CZ"/>
        </w:rPr>
        <w:t> </w:t>
      </w:r>
      <w:r w:rsidRPr="0068671A">
        <w:rPr>
          <w:rFonts w:ascii="Arial" w:hAnsi="Arial" w:cs="Arial"/>
          <w:szCs w:val="24"/>
          <w:lang w:eastAsia="cs-CZ"/>
        </w:rPr>
        <w:t xml:space="preserve">jejich vyhodnocení,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vytvoření veřejné databáze pro sledování indikátorů ČR 2030 a kvality života (celkem cca 332 indikátorů – 192 ČR 2030 + 140 kvalita života) s propojením na webovou stránku www.cr2030.cz – využití systému </w:t>
      </w:r>
      <w:proofErr w:type="spellStart"/>
      <w:r w:rsidRPr="0068671A">
        <w:rPr>
          <w:rFonts w:ascii="Arial" w:hAnsi="Arial" w:cs="Arial"/>
          <w:szCs w:val="24"/>
          <w:lang w:eastAsia="cs-CZ"/>
        </w:rPr>
        <w:t>ISSaR</w:t>
      </w:r>
      <w:proofErr w:type="spellEnd"/>
      <w:r w:rsidRPr="0068671A">
        <w:rPr>
          <w:rFonts w:ascii="Arial" w:hAnsi="Arial" w:cs="Arial"/>
          <w:szCs w:val="24"/>
          <w:lang w:eastAsia="cs-CZ"/>
        </w:rPr>
        <w:t xml:space="preserve">, následně </w:t>
      </w:r>
      <w:proofErr w:type="spellStart"/>
      <w:r w:rsidRPr="0068671A">
        <w:rPr>
          <w:rFonts w:ascii="Arial" w:hAnsi="Arial" w:cs="Arial"/>
          <w:szCs w:val="24"/>
          <w:lang w:eastAsia="cs-CZ"/>
        </w:rPr>
        <w:t>STaR</w:t>
      </w:r>
      <w:proofErr w:type="spellEnd"/>
      <w:r w:rsidRPr="0068671A">
        <w:rPr>
          <w:rFonts w:ascii="Arial" w:hAnsi="Arial" w:cs="Arial"/>
          <w:szCs w:val="24"/>
          <w:lang w:eastAsia="cs-CZ"/>
        </w:rPr>
        <w:t>, licence pořízena MŽP, resp. CENIA</w:t>
      </w:r>
    </w:p>
    <w:p w:rsidR="0068671A" w:rsidRPr="0068671A" w:rsidRDefault="0068671A" w:rsidP="0068671A">
      <w:pPr>
        <w:spacing w:after="120"/>
        <w:jc w:val="both"/>
        <w:rPr>
          <w:rFonts w:ascii="Arial" w:hAnsi="Arial" w:cs="Arial"/>
          <w:i/>
          <w:szCs w:val="24"/>
          <w:lang w:eastAsia="cs-CZ"/>
        </w:rPr>
      </w:pPr>
    </w:p>
    <w:p w:rsidR="0068671A" w:rsidRPr="0068671A" w:rsidRDefault="0068671A" w:rsidP="0068671A">
      <w:pPr>
        <w:spacing w:after="120"/>
        <w:jc w:val="both"/>
        <w:rPr>
          <w:rFonts w:ascii="Arial" w:hAnsi="Arial" w:cs="Arial"/>
          <w:b/>
          <w:szCs w:val="24"/>
          <w:lang w:eastAsia="cs-CZ"/>
        </w:rPr>
      </w:pPr>
      <w:r w:rsidRPr="0068671A">
        <w:rPr>
          <w:rFonts w:ascii="Arial" w:hAnsi="Arial" w:cs="Arial"/>
          <w:b/>
          <w:szCs w:val="24"/>
          <w:lang w:eastAsia="cs-CZ"/>
        </w:rPr>
        <w:t xml:space="preserve">Klíčová aktivita č. 2: Zajištění indikátorů pro Zprávu o kvalitě života a udržitelnosti </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Klíčová aktivita 2 dále hodlá rozvinout mechanismus udržitelného rozvoje spojený s implementací Agendy 2030 OSN jakožto základního globálního rozvojového rámce. ČR</w:t>
      </w:r>
      <w:r>
        <w:rPr>
          <w:rFonts w:ascii="Arial" w:hAnsi="Arial" w:cs="Arial"/>
          <w:szCs w:val="24"/>
          <w:lang w:eastAsia="cs-CZ"/>
        </w:rPr>
        <w:t> </w:t>
      </w:r>
      <w:r w:rsidRPr="0068671A">
        <w:rPr>
          <w:rFonts w:ascii="Arial" w:hAnsi="Arial" w:cs="Arial"/>
          <w:szCs w:val="24"/>
          <w:lang w:eastAsia="cs-CZ"/>
        </w:rPr>
        <w:t xml:space="preserve">2030 představuje hlavní platformu pro stanovení cílů a implementaci globálních úvazků, které mnohdy překračují globální cíle, resp. je upřesňují. Materiál Implementace Agendy 2030 schválený vládou v říjnu 2018 slouží ke zhodnocení relevance 17 Cílů udržitelného rozvoje a jejich 169 podcílů (pouze 4 nejsou pro ČR relevantní) a pro každý Cíl stanovuje základní opatření a principy, jimiž se má řídit jeho naplňování, a upravuje i otázku monitoringu a reportingu.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Na základě usnesení vlády č. 670/2017 má být spolu se zprávou o naplňování ČR 2030 (tj.</w:t>
      </w:r>
      <w:r>
        <w:rPr>
          <w:rFonts w:ascii="Arial" w:hAnsi="Arial" w:cs="Arial"/>
          <w:szCs w:val="24"/>
          <w:lang w:eastAsia="cs-CZ"/>
        </w:rPr>
        <w:t> </w:t>
      </w:r>
      <w:r w:rsidRPr="0068671A">
        <w:rPr>
          <w:rFonts w:ascii="Arial" w:hAnsi="Arial" w:cs="Arial"/>
          <w:szCs w:val="24"/>
          <w:lang w:eastAsia="cs-CZ"/>
        </w:rPr>
        <w:t>Zprávou o kvalitě života a její udržitelnosti) předložena vládě do 31. 12. 2020 zpráva o</w:t>
      </w:r>
      <w:r>
        <w:rPr>
          <w:rFonts w:ascii="Arial" w:hAnsi="Arial" w:cs="Arial"/>
          <w:szCs w:val="24"/>
          <w:lang w:eastAsia="cs-CZ"/>
        </w:rPr>
        <w:t> </w:t>
      </w:r>
      <w:r w:rsidRPr="0068671A">
        <w:rPr>
          <w:rFonts w:ascii="Arial" w:hAnsi="Arial" w:cs="Arial"/>
          <w:szCs w:val="24"/>
          <w:lang w:eastAsia="cs-CZ"/>
        </w:rPr>
        <w:t xml:space="preserve">naplňování </w:t>
      </w:r>
      <w:proofErr w:type="spellStart"/>
      <w:r w:rsidRPr="0068671A">
        <w:rPr>
          <w:rFonts w:ascii="Arial" w:hAnsi="Arial" w:cs="Arial"/>
          <w:szCs w:val="24"/>
          <w:lang w:eastAsia="cs-CZ"/>
        </w:rPr>
        <w:t>SDGs</w:t>
      </w:r>
      <w:proofErr w:type="spellEnd"/>
      <w:r w:rsidRPr="0068671A">
        <w:rPr>
          <w:rFonts w:ascii="Arial" w:hAnsi="Arial" w:cs="Arial"/>
          <w:szCs w:val="24"/>
          <w:lang w:eastAsia="cs-CZ"/>
        </w:rPr>
        <w:t xml:space="preserve"> vyhodnocující naplnění opatření a indikátorů materiálu Implementace </w:t>
      </w:r>
      <w:r w:rsidRPr="0068671A">
        <w:rPr>
          <w:rFonts w:ascii="Arial" w:hAnsi="Arial" w:cs="Arial"/>
          <w:szCs w:val="24"/>
          <w:lang w:eastAsia="cs-CZ"/>
        </w:rPr>
        <w:lastRenderedPageBreak/>
        <w:t>Agendy 2030 pro udržitelný rozvoj OSN (Cílů udržitelného rozvoje) v ČR. Ta zhodnotí naplňování opatření a principů pro jednotlivá SDG, shrne stav naplnění Agendy 2030 v ČR a bude s ní spojen i návrh aktualizace samotného materiálu (zejm. úprava opatření, příp.</w:t>
      </w:r>
      <w:r>
        <w:rPr>
          <w:rFonts w:ascii="Arial" w:hAnsi="Arial" w:cs="Arial"/>
          <w:szCs w:val="24"/>
          <w:lang w:eastAsia="cs-CZ"/>
        </w:rPr>
        <w:t> </w:t>
      </w:r>
      <w:r w:rsidRPr="0068671A">
        <w:rPr>
          <w:rFonts w:ascii="Arial" w:hAnsi="Arial" w:cs="Arial"/>
          <w:szCs w:val="24"/>
          <w:lang w:eastAsia="cs-CZ"/>
        </w:rPr>
        <w:t xml:space="preserve">specifikace monitoringu a reportingu v návaznosti na vývoj na globální úrovni).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Zpráva o naplňování Agendy 2030 v ČR bude následně použita při přípravě dobrovolného národního reportu (</w:t>
      </w:r>
      <w:proofErr w:type="spellStart"/>
      <w:r w:rsidRPr="0068671A">
        <w:rPr>
          <w:rFonts w:ascii="Arial" w:hAnsi="Arial" w:cs="Arial"/>
          <w:szCs w:val="24"/>
          <w:lang w:eastAsia="cs-CZ"/>
        </w:rPr>
        <w:t>Voluntary</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National</w:t>
      </w:r>
      <w:proofErr w:type="spellEnd"/>
      <w:r w:rsidRPr="0068671A">
        <w:rPr>
          <w:rFonts w:ascii="Arial" w:hAnsi="Arial" w:cs="Arial"/>
          <w:szCs w:val="24"/>
          <w:lang w:eastAsia="cs-CZ"/>
        </w:rPr>
        <w:t xml:space="preserve"> Report, tzv. VNR) na Politickém fóru na vysoké úrovni (</w:t>
      </w:r>
      <w:proofErr w:type="spellStart"/>
      <w:r w:rsidRPr="0068671A">
        <w:rPr>
          <w:rFonts w:ascii="Arial" w:hAnsi="Arial" w:cs="Arial"/>
          <w:szCs w:val="24"/>
          <w:lang w:eastAsia="cs-CZ"/>
        </w:rPr>
        <w:t>High</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Level</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Political</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Forum</w:t>
      </w:r>
      <w:proofErr w:type="spellEnd"/>
      <w:r w:rsidRPr="0068671A">
        <w:rPr>
          <w:rFonts w:ascii="Arial" w:hAnsi="Arial" w:cs="Arial"/>
          <w:szCs w:val="24"/>
          <w:lang w:eastAsia="cs-CZ"/>
        </w:rPr>
        <w:t>, HLPF) OSN v červenci 2021, na němž jednotlivé státy postupně prezentují svůj pokrok v naplňování Agendy 2030. Česká republika první VNR prezentovala již v roce 2017, nicméně VNR v roce 2021 poskytne příležitost k otestování systému kontaktních bodů (</w:t>
      </w:r>
      <w:proofErr w:type="spellStart"/>
      <w:r w:rsidRPr="0068671A">
        <w:rPr>
          <w:rFonts w:ascii="Arial" w:hAnsi="Arial" w:cs="Arial"/>
          <w:szCs w:val="24"/>
          <w:lang w:eastAsia="cs-CZ"/>
        </w:rPr>
        <w:t>focal</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points</w:t>
      </w:r>
      <w:proofErr w:type="spellEnd"/>
      <w:r w:rsidRPr="0068671A">
        <w:rPr>
          <w:rFonts w:ascii="Arial" w:hAnsi="Arial" w:cs="Arial"/>
          <w:szCs w:val="24"/>
          <w:lang w:eastAsia="cs-CZ"/>
        </w:rPr>
        <w:t>) při přípravě souhrnného materiálu určeného k reprezentaci ČR na mezinárodní úrovni. V návaznosti na dlouhodobé úsilí EU o reformu OSN obecně a</w:t>
      </w:r>
      <w:r>
        <w:rPr>
          <w:rFonts w:ascii="Arial" w:hAnsi="Arial" w:cs="Arial"/>
          <w:szCs w:val="24"/>
          <w:lang w:eastAsia="cs-CZ"/>
        </w:rPr>
        <w:t> </w:t>
      </w:r>
      <w:r w:rsidRPr="0068671A">
        <w:rPr>
          <w:rFonts w:ascii="Arial" w:hAnsi="Arial" w:cs="Arial"/>
          <w:szCs w:val="24"/>
          <w:lang w:eastAsia="cs-CZ"/>
        </w:rPr>
        <w:t xml:space="preserve">HLPF specificky (ČR předseda dobrovolné pracovní skupině, tzv. </w:t>
      </w:r>
      <w:proofErr w:type="spellStart"/>
      <w:r w:rsidRPr="0068671A">
        <w:rPr>
          <w:rFonts w:ascii="Arial" w:hAnsi="Arial" w:cs="Arial"/>
          <w:szCs w:val="24"/>
          <w:lang w:eastAsia="cs-CZ"/>
        </w:rPr>
        <w:t>voluntary</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task-force</w:t>
      </w:r>
      <w:proofErr w:type="spellEnd"/>
      <w:r w:rsidRPr="0068671A">
        <w:rPr>
          <w:rFonts w:ascii="Arial" w:hAnsi="Arial" w:cs="Arial"/>
          <w:szCs w:val="24"/>
          <w:lang w:eastAsia="cs-CZ"/>
        </w:rPr>
        <w:t xml:space="preserve"> při Pracovní skupině pro Agendu 2030 Rady EU) tak, aby bylo více evidence-</w:t>
      </w:r>
      <w:proofErr w:type="spellStart"/>
      <w:r w:rsidRPr="0068671A">
        <w:rPr>
          <w:rFonts w:ascii="Arial" w:hAnsi="Arial" w:cs="Arial"/>
          <w:szCs w:val="24"/>
          <w:lang w:eastAsia="cs-CZ"/>
        </w:rPr>
        <w:t>based</w:t>
      </w:r>
      <w:proofErr w:type="spellEnd"/>
      <w:r w:rsidRPr="0068671A">
        <w:rPr>
          <w:rFonts w:ascii="Arial" w:hAnsi="Arial" w:cs="Arial"/>
          <w:szCs w:val="24"/>
          <w:lang w:eastAsia="cs-CZ"/>
        </w:rPr>
        <w:t xml:space="preserve"> a vytvářelo prostor pro sdílení zkušeností namísto sebeprezentace, lze očekávat obdržení zpětné vazby k VNR obdržené od orgánů OSN připravujících podkladové materiály (UN DESA), příp. jiných členských států a </w:t>
      </w:r>
      <w:proofErr w:type="spellStart"/>
      <w:r w:rsidRPr="0068671A">
        <w:rPr>
          <w:rFonts w:ascii="Arial" w:hAnsi="Arial" w:cs="Arial"/>
          <w:szCs w:val="24"/>
          <w:lang w:eastAsia="cs-CZ"/>
        </w:rPr>
        <w:t>stakeholderů</w:t>
      </w:r>
      <w:proofErr w:type="spellEnd"/>
      <w:r w:rsidRPr="0068671A">
        <w:rPr>
          <w:rFonts w:ascii="Arial" w:hAnsi="Arial" w:cs="Arial"/>
          <w:szCs w:val="24"/>
          <w:lang w:eastAsia="cs-CZ"/>
        </w:rPr>
        <w:t xml:space="preserve">. Zpětnou vazbu k VNR využije žadatel pro zlepšení </w:t>
      </w:r>
      <w:proofErr w:type="spellStart"/>
      <w:r w:rsidRPr="0068671A">
        <w:rPr>
          <w:rFonts w:ascii="Arial" w:hAnsi="Arial" w:cs="Arial"/>
          <w:szCs w:val="24"/>
          <w:lang w:eastAsia="cs-CZ"/>
        </w:rPr>
        <w:t>mainstreamingu</w:t>
      </w:r>
      <w:proofErr w:type="spellEnd"/>
      <w:r w:rsidRPr="0068671A">
        <w:rPr>
          <w:rFonts w:ascii="Arial" w:hAnsi="Arial" w:cs="Arial"/>
          <w:szCs w:val="24"/>
          <w:lang w:eastAsia="cs-CZ"/>
        </w:rPr>
        <w:t xml:space="preserve"> Agendy 2030 v ČR, koordinace kontaktních bodů a managementu vazeb mezi </w:t>
      </w:r>
      <w:proofErr w:type="spellStart"/>
      <w:r w:rsidRPr="0068671A">
        <w:rPr>
          <w:rFonts w:ascii="Arial" w:hAnsi="Arial" w:cs="Arial"/>
          <w:szCs w:val="24"/>
          <w:lang w:eastAsia="cs-CZ"/>
        </w:rPr>
        <w:t>SDGs</w:t>
      </w:r>
      <w:proofErr w:type="spellEnd"/>
      <w:r w:rsidRPr="0068671A">
        <w:rPr>
          <w:rFonts w:ascii="Arial" w:hAnsi="Arial" w:cs="Arial"/>
          <w:szCs w:val="24"/>
          <w:lang w:eastAsia="cs-CZ"/>
        </w:rPr>
        <w:t xml:space="preserve"> (tzv. </w:t>
      </w:r>
      <w:proofErr w:type="spellStart"/>
      <w:r w:rsidRPr="0068671A">
        <w:rPr>
          <w:rFonts w:ascii="Arial" w:hAnsi="Arial" w:cs="Arial"/>
          <w:szCs w:val="24"/>
          <w:lang w:eastAsia="cs-CZ"/>
        </w:rPr>
        <w:t>interlinkages</w:t>
      </w:r>
      <w:proofErr w:type="spellEnd"/>
      <w:r w:rsidRPr="0068671A">
        <w:rPr>
          <w:rFonts w:ascii="Arial" w:hAnsi="Arial" w:cs="Arial"/>
          <w:szCs w:val="24"/>
          <w:lang w:eastAsia="cs-CZ"/>
        </w:rPr>
        <w:t>).</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Pro Zprávu o naplňování Agendy 2030 v ČR je třeba zajistit data pro relevantní a dostupné indikátory Agendy 2030, což vyžaduje: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w:t>
      </w:r>
      <w:r w:rsidRPr="0068671A">
        <w:rPr>
          <w:rFonts w:ascii="Arial" w:hAnsi="Arial" w:cs="Arial"/>
          <w:szCs w:val="24"/>
          <w:lang w:eastAsia="cs-CZ"/>
        </w:rPr>
        <w:tab/>
        <w:t xml:space="preserve">koordinaci sběru dat celkem k indikátorům Agendy 2030 OSN včetně potřebného členění (podle pohlaví, věku, vzdělání, ekonomické aktivity, regionu, atp.) – v současné době je navrženo 244 indikátorů, proces stanovování indikátorů je stále živý a je vázaný na práci Statistické komise OSN a pod ní pracující </w:t>
      </w:r>
      <w:proofErr w:type="spellStart"/>
      <w:r w:rsidRPr="0068671A">
        <w:rPr>
          <w:rFonts w:ascii="Arial" w:hAnsi="Arial" w:cs="Arial"/>
          <w:szCs w:val="24"/>
          <w:lang w:eastAsia="cs-CZ"/>
        </w:rPr>
        <w:t>Meziagenturní</w:t>
      </w:r>
      <w:proofErr w:type="spellEnd"/>
      <w:r w:rsidRPr="0068671A">
        <w:rPr>
          <w:rFonts w:ascii="Arial" w:hAnsi="Arial" w:cs="Arial"/>
          <w:szCs w:val="24"/>
          <w:lang w:eastAsia="cs-CZ"/>
        </w:rPr>
        <w:t xml:space="preserve"> a expertní skupiny pro indikátory </w:t>
      </w:r>
      <w:proofErr w:type="spellStart"/>
      <w:r w:rsidRPr="0068671A">
        <w:rPr>
          <w:rFonts w:ascii="Arial" w:hAnsi="Arial" w:cs="Arial"/>
          <w:szCs w:val="24"/>
          <w:lang w:eastAsia="cs-CZ"/>
        </w:rPr>
        <w:t>SDGs</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Interagency</w:t>
      </w:r>
      <w:proofErr w:type="spellEnd"/>
      <w:r w:rsidRPr="0068671A">
        <w:rPr>
          <w:rFonts w:ascii="Arial" w:hAnsi="Arial" w:cs="Arial"/>
          <w:szCs w:val="24"/>
          <w:lang w:eastAsia="cs-CZ"/>
        </w:rPr>
        <w:t xml:space="preserve"> and Expert Group on </w:t>
      </w:r>
      <w:proofErr w:type="spellStart"/>
      <w:r w:rsidRPr="0068671A">
        <w:rPr>
          <w:rFonts w:ascii="Arial" w:hAnsi="Arial" w:cs="Arial"/>
          <w:szCs w:val="24"/>
          <w:lang w:eastAsia="cs-CZ"/>
        </w:rPr>
        <w:t>SDGs</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Indicators</w:t>
      </w:r>
      <w:proofErr w:type="spellEnd"/>
      <w:r w:rsidRPr="0068671A">
        <w:rPr>
          <w:rFonts w:ascii="Arial" w:hAnsi="Arial" w:cs="Arial"/>
          <w:szCs w:val="24"/>
          <w:lang w:eastAsia="cs-CZ"/>
        </w:rPr>
        <w:t>) a lze očekávat, že</w:t>
      </w:r>
      <w:r>
        <w:rPr>
          <w:rFonts w:ascii="Arial" w:hAnsi="Arial" w:cs="Arial"/>
          <w:szCs w:val="24"/>
          <w:lang w:eastAsia="cs-CZ"/>
        </w:rPr>
        <w:t> </w:t>
      </w:r>
      <w:r w:rsidRPr="0068671A">
        <w:rPr>
          <w:rFonts w:ascii="Arial" w:hAnsi="Arial" w:cs="Arial"/>
          <w:szCs w:val="24"/>
          <w:lang w:eastAsia="cs-CZ"/>
        </w:rPr>
        <w:t xml:space="preserve">počet indikátorů včetně jejich </w:t>
      </w:r>
      <w:proofErr w:type="spellStart"/>
      <w:r w:rsidRPr="0068671A">
        <w:rPr>
          <w:rFonts w:ascii="Arial" w:hAnsi="Arial" w:cs="Arial"/>
          <w:szCs w:val="24"/>
          <w:lang w:eastAsia="cs-CZ"/>
        </w:rPr>
        <w:t>metadat</w:t>
      </w:r>
      <w:proofErr w:type="spellEnd"/>
      <w:r w:rsidRPr="0068671A">
        <w:rPr>
          <w:rFonts w:ascii="Arial" w:hAnsi="Arial" w:cs="Arial"/>
          <w:szCs w:val="24"/>
          <w:lang w:eastAsia="cs-CZ"/>
        </w:rPr>
        <w:t xml:space="preserve"> se bude v průběhu doby trvání projektu ještě měnit a upravovat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vytvoření přehledu odpovědných institucí a kontaktních osob pro potřeby předávání dat (tzv. </w:t>
      </w:r>
      <w:proofErr w:type="spellStart"/>
      <w:r w:rsidRPr="0068671A">
        <w:rPr>
          <w:rFonts w:ascii="Arial" w:hAnsi="Arial" w:cs="Arial"/>
          <w:szCs w:val="24"/>
          <w:lang w:eastAsia="cs-CZ"/>
        </w:rPr>
        <w:t>focal</w:t>
      </w:r>
      <w:proofErr w:type="spellEnd"/>
      <w:r w:rsidRPr="0068671A">
        <w:rPr>
          <w:rFonts w:ascii="Arial" w:hAnsi="Arial" w:cs="Arial"/>
          <w:szCs w:val="24"/>
          <w:lang w:eastAsia="cs-CZ"/>
        </w:rPr>
        <w:t xml:space="preserve"> pointů k indikátorům)</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koordinaci sběru dat na ČSÚ – 55 indikátorů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meziresortní koordinaci sběru dat – 93 indikátorů u cca 20 institucí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posoudit 76 indikátorů (u 8 indikátorů je překryv gesce resortů a ČSÚ, 19 indikátorů je nedostupných a 9 indikátorů je vyhodnoceno jako nerelevantních)</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u statistických ukazatelů posuzovat metodiky výběru respondentů, metodiky sběru dat, technologie zpracování dat včetně posouzení systémů kontrol a</w:t>
      </w:r>
      <w:r>
        <w:rPr>
          <w:rFonts w:ascii="Arial" w:hAnsi="Arial" w:cs="Arial"/>
          <w:szCs w:val="24"/>
          <w:lang w:eastAsia="cs-CZ"/>
        </w:rPr>
        <w:t> </w:t>
      </w:r>
      <w:r w:rsidRPr="0068671A">
        <w:rPr>
          <w:rFonts w:ascii="Arial" w:hAnsi="Arial" w:cs="Arial"/>
          <w:szCs w:val="24"/>
          <w:lang w:eastAsia="cs-CZ"/>
        </w:rPr>
        <w:t>validačních procesů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posuzovat koherenci vůči jiným statistikám a schopnosti jejich meziročního porovnání</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u nestatistických indikátorů spolupracovat na vytváření metodických popisů</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u nedostupných indikátorů hledat zdroje dat, navrhovat formy zjišťování pro nedostupné údaje</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lastRenderedPageBreak/>
        <w:t>navrhnout jednotný formát a zpracování dat do podoby pro snazší předání dat k</w:t>
      </w:r>
      <w:r>
        <w:rPr>
          <w:rFonts w:ascii="Arial" w:hAnsi="Arial" w:cs="Arial"/>
          <w:szCs w:val="24"/>
          <w:lang w:eastAsia="cs-CZ"/>
        </w:rPr>
        <w:t> </w:t>
      </w:r>
      <w:r w:rsidRPr="0068671A">
        <w:rPr>
          <w:rFonts w:ascii="Arial" w:hAnsi="Arial" w:cs="Arial"/>
          <w:szCs w:val="24"/>
          <w:lang w:eastAsia="cs-CZ"/>
        </w:rPr>
        <w:t xml:space="preserve">vyhodnocení cílů pro potřeby Zprávy o plnění Cílů udržitelného rozvoje </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vytvořit databázi s potřebnými daty</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zpracovat data do jednotného formátu a podoby pro snazší předání dat k vyhodnocení cílů pro potřeby Zprávy o plnění Cílů udržitelného rozvoje</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spolupracovat na přípravě nulté (2019), první (2020) a druhé (2023) Zprávy o</w:t>
      </w:r>
      <w:r>
        <w:rPr>
          <w:rFonts w:ascii="Arial" w:hAnsi="Arial" w:cs="Arial"/>
          <w:szCs w:val="24"/>
          <w:lang w:eastAsia="cs-CZ"/>
        </w:rPr>
        <w:t> </w:t>
      </w:r>
      <w:r w:rsidRPr="0068671A">
        <w:rPr>
          <w:rFonts w:ascii="Arial" w:hAnsi="Arial" w:cs="Arial"/>
          <w:szCs w:val="24"/>
          <w:lang w:eastAsia="cs-CZ"/>
        </w:rPr>
        <w:t>plnění Cílů udržitelného rozvoje – 2. část této zprávy má být indikátorová</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spolupracovat na přípravě </w:t>
      </w:r>
      <w:proofErr w:type="spellStart"/>
      <w:r w:rsidRPr="0068671A">
        <w:rPr>
          <w:rFonts w:ascii="Arial" w:hAnsi="Arial" w:cs="Arial"/>
          <w:szCs w:val="24"/>
          <w:lang w:eastAsia="cs-CZ"/>
        </w:rPr>
        <w:t>National</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Voluntary</w:t>
      </w:r>
      <w:proofErr w:type="spellEnd"/>
      <w:r w:rsidRPr="0068671A">
        <w:rPr>
          <w:rFonts w:ascii="Arial" w:hAnsi="Arial" w:cs="Arial"/>
          <w:szCs w:val="24"/>
          <w:lang w:eastAsia="cs-CZ"/>
        </w:rPr>
        <w:t xml:space="preserve"> </w:t>
      </w:r>
      <w:proofErr w:type="spellStart"/>
      <w:r w:rsidRPr="0068671A">
        <w:rPr>
          <w:rFonts w:ascii="Arial" w:hAnsi="Arial" w:cs="Arial"/>
          <w:szCs w:val="24"/>
          <w:lang w:eastAsia="cs-CZ"/>
        </w:rPr>
        <w:t>Review</w:t>
      </w:r>
      <w:proofErr w:type="spellEnd"/>
      <w:r w:rsidRPr="0068671A">
        <w:rPr>
          <w:rFonts w:ascii="Arial" w:hAnsi="Arial" w:cs="Arial"/>
          <w:szCs w:val="24"/>
          <w:lang w:eastAsia="cs-CZ"/>
        </w:rPr>
        <w:t xml:space="preserve"> pro Politické fórum na vysoké úrovni k udržitelnému rozvoji OSN (zasedání HLPF v roce 2020)</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připravovat podklady pro zasedání Výboru pro indikátory Rady vlády pro udržitelný rozvoj;</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Výstupy</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1 Zpráva o naplňování Agendy 2030 (</w:t>
      </w:r>
      <w:proofErr w:type="spellStart"/>
      <w:r w:rsidRPr="0068671A">
        <w:rPr>
          <w:rFonts w:ascii="Arial" w:hAnsi="Arial" w:cs="Arial"/>
          <w:szCs w:val="24"/>
          <w:lang w:eastAsia="cs-CZ"/>
        </w:rPr>
        <w:t>SDGs</w:t>
      </w:r>
      <w:proofErr w:type="spellEnd"/>
      <w:r w:rsidRPr="0068671A">
        <w:rPr>
          <w:rFonts w:ascii="Arial" w:hAnsi="Arial" w:cs="Arial"/>
          <w:szCs w:val="24"/>
          <w:lang w:eastAsia="cs-CZ"/>
        </w:rPr>
        <w:t>) v roce 2020: rozsah 50-80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1 VNR report: rozsah 50-100 stran, formální úprava dle ČSN 01 6910 (2014) a</w:t>
      </w:r>
      <w:r>
        <w:rPr>
          <w:rFonts w:ascii="Arial" w:hAnsi="Arial" w:cs="Arial"/>
          <w:szCs w:val="24"/>
          <w:lang w:eastAsia="cs-CZ"/>
        </w:rPr>
        <w:t> </w:t>
      </w:r>
      <w:r w:rsidRPr="0068671A">
        <w:rPr>
          <w:rFonts w:ascii="Arial" w:hAnsi="Arial" w:cs="Arial"/>
          <w:szCs w:val="24"/>
          <w:lang w:eastAsia="cs-CZ"/>
        </w:rPr>
        <w:t>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 xml:space="preserve">1 </w:t>
      </w:r>
      <w:proofErr w:type="spellStart"/>
      <w:r w:rsidRPr="0068671A">
        <w:rPr>
          <w:rFonts w:ascii="Arial" w:hAnsi="Arial" w:cs="Arial"/>
          <w:szCs w:val="24"/>
          <w:lang w:eastAsia="cs-CZ"/>
        </w:rPr>
        <w:t>follow</w:t>
      </w:r>
      <w:proofErr w:type="spellEnd"/>
      <w:r w:rsidRPr="0068671A">
        <w:rPr>
          <w:rFonts w:ascii="Arial" w:hAnsi="Arial" w:cs="Arial"/>
          <w:szCs w:val="24"/>
          <w:lang w:eastAsia="cs-CZ"/>
        </w:rPr>
        <w:t xml:space="preserve">-up dokument (doporučení) pro zlepšení </w:t>
      </w:r>
      <w:proofErr w:type="spellStart"/>
      <w:r w:rsidRPr="0068671A">
        <w:rPr>
          <w:rFonts w:ascii="Arial" w:hAnsi="Arial" w:cs="Arial"/>
          <w:szCs w:val="24"/>
          <w:lang w:eastAsia="cs-CZ"/>
        </w:rPr>
        <w:t>mainstreamingu</w:t>
      </w:r>
      <w:proofErr w:type="spellEnd"/>
      <w:r w:rsidRPr="0068671A">
        <w:rPr>
          <w:rFonts w:ascii="Arial" w:hAnsi="Arial" w:cs="Arial"/>
          <w:szCs w:val="24"/>
          <w:lang w:eastAsia="cs-CZ"/>
        </w:rPr>
        <w:t xml:space="preserve"> Agendy 2030 v</w:t>
      </w:r>
      <w:r>
        <w:rPr>
          <w:rFonts w:ascii="Arial" w:hAnsi="Arial" w:cs="Arial"/>
          <w:szCs w:val="24"/>
          <w:lang w:eastAsia="cs-CZ"/>
        </w:rPr>
        <w:t> </w:t>
      </w:r>
      <w:r w:rsidRPr="0068671A">
        <w:rPr>
          <w:rFonts w:ascii="Arial" w:hAnsi="Arial" w:cs="Arial"/>
          <w:szCs w:val="24"/>
          <w:lang w:eastAsia="cs-CZ"/>
        </w:rPr>
        <w:t>ČR: rozsah 20-40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sběr a vyhodnocení dostupných dat k indikátorům Agendy 2030</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vytvoření veřejné databáze pro sledování dostupných indikátorů Agendy 2030 s</w:t>
      </w:r>
      <w:r>
        <w:rPr>
          <w:rFonts w:ascii="Arial" w:hAnsi="Arial" w:cs="Arial"/>
          <w:szCs w:val="24"/>
          <w:lang w:eastAsia="cs-CZ"/>
        </w:rPr>
        <w:t> </w:t>
      </w:r>
      <w:r w:rsidRPr="0068671A">
        <w:rPr>
          <w:rFonts w:ascii="Arial" w:hAnsi="Arial" w:cs="Arial"/>
          <w:szCs w:val="24"/>
          <w:lang w:eastAsia="cs-CZ"/>
        </w:rPr>
        <w:t xml:space="preserve">propojením na webovou stránku www.cr2030.cz – využití systému </w:t>
      </w:r>
      <w:proofErr w:type="spellStart"/>
      <w:r w:rsidRPr="0068671A">
        <w:rPr>
          <w:rFonts w:ascii="Arial" w:hAnsi="Arial" w:cs="Arial"/>
          <w:szCs w:val="24"/>
          <w:lang w:eastAsia="cs-CZ"/>
        </w:rPr>
        <w:t>ISSaR</w:t>
      </w:r>
      <w:proofErr w:type="spellEnd"/>
      <w:r w:rsidRPr="0068671A">
        <w:rPr>
          <w:rFonts w:ascii="Arial" w:hAnsi="Arial" w:cs="Arial"/>
          <w:szCs w:val="24"/>
          <w:lang w:eastAsia="cs-CZ"/>
        </w:rPr>
        <w:t xml:space="preserve">, následně </w:t>
      </w:r>
      <w:proofErr w:type="spellStart"/>
      <w:r w:rsidRPr="0068671A">
        <w:rPr>
          <w:rFonts w:ascii="Arial" w:hAnsi="Arial" w:cs="Arial"/>
          <w:szCs w:val="24"/>
          <w:lang w:eastAsia="cs-CZ"/>
        </w:rPr>
        <w:t>STaR</w:t>
      </w:r>
      <w:proofErr w:type="spellEnd"/>
      <w:r w:rsidRPr="0068671A">
        <w:rPr>
          <w:rFonts w:ascii="Arial" w:hAnsi="Arial" w:cs="Arial"/>
          <w:szCs w:val="24"/>
          <w:lang w:eastAsia="cs-CZ"/>
        </w:rPr>
        <w:t>, licence pořízena MŽP, resp. CENIA</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b/>
          <w:szCs w:val="24"/>
          <w:lang w:eastAsia="cs-CZ"/>
        </w:rPr>
      </w:pPr>
      <w:r w:rsidRPr="0068671A">
        <w:rPr>
          <w:rFonts w:ascii="Arial" w:hAnsi="Arial" w:cs="Arial"/>
          <w:b/>
          <w:szCs w:val="24"/>
          <w:lang w:eastAsia="cs-CZ"/>
        </w:rPr>
        <w:t>Klíčová aktivita č. 3: Koherence politik pro udržitelný rozvoj</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Z hlediska udržitelného rozvoje je klíčové zajištění koherence politik, tedy zejména souladu mezi politikami vytvářenými různými částmi veřejné správy a jejich směřování k týmž cílům, nebo alespoň jejich fungování dle týchž principů. V České republice však dosud nebylo téma koherence systémově uchopeno, nepočítáme-li snahy MMR o slaďování strategických záměrů veřejné správy a zárodečnou snahu MZV o zajištění tzv. koherence politik pro rozvoj, tedy politik s vnějším dopadem.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Po metodické stránce však dosavadní pokusy o řešení – jak domácí, tak zahraniční – ukázaly především zjevné úskalí oné cesty posuzování koherence politik, která staví na jejím souhrnném posuzování z jednoho místa procesu tvorby politik, jakkoli by to místo bylo centrální a v hierarchii veřejné správy stálo vysoko. Snaha hodnotit tímto způsobem celou šíři veřejných politik, nalézt inkoherence a jediným zásahem je odstranit, bude – zvláště při vědomí kapacity, kterou by si snaha žádala – poměrně málo účinná. Veřejné politiky představují tak široké a trvale proměnlivé pole, že by ani sebedůkladnější jednorázová </w:t>
      </w:r>
      <w:r w:rsidRPr="0068671A">
        <w:rPr>
          <w:rFonts w:ascii="Arial" w:hAnsi="Arial" w:cs="Arial"/>
          <w:szCs w:val="24"/>
          <w:lang w:eastAsia="cs-CZ"/>
        </w:rPr>
        <w:lastRenderedPageBreak/>
        <w:t>analýza nemohla podchytit vše a reakce by současně přicházela vždy se zpožděním, do situace, která se již opět změnila. Souhrnné posouzení koherence má smysl jednou za čas, nebo ve vztahu ke specifickému či zvláště závažnému problému. Není to však řešení pro každodenní chod veřejné správy.</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 xml:space="preserve">Jediným řešením je, učinit z koherence politik trvalou součást každodenní práce, a to skrze zlepšení systému odhadu dopadů.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Proto si klíčová aktivita klade za cíl:</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posoudit existující mechanismy odhadu dopadů a zvážit, v jakém rozsahu tyto mechanismy již nyní odrážejí perspektivu udržitelného rozvoje, do jaké míry se doplňují a kde jsou jejich limity; v návaznosti na to formulovat sadu konkrétních doporučení ke zlepšení systému odhadu dopadů a zajišťování koherence politik v ČR (vč. doporučení k existujícím mechanismům);</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pro potřeby tvůrců politik rozpracovat praktický metodický nástroj k té oblasti, v</w:t>
      </w:r>
      <w:r>
        <w:rPr>
          <w:rFonts w:ascii="Arial" w:hAnsi="Arial" w:cs="Arial"/>
          <w:szCs w:val="24"/>
          <w:lang w:eastAsia="cs-CZ"/>
        </w:rPr>
        <w:t> </w:t>
      </w:r>
      <w:r w:rsidRPr="0068671A">
        <w:rPr>
          <w:rFonts w:ascii="Arial" w:hAnsi="Arial" w:cs="Arial"/>
          <w:szCs w:val="24"/>
          <w:lang w:eastAsia="cs-CZ"/>
        </w:rPr>
        <w:t>níž bude spatřován největší deficit (na základě předběžného průzkumu v jedné z</w:t>
      </w:r>
      <w:r>
        <w:rPr>
          <w:rFonts w:ascii="Arial" w:hAnsi="Arial" w:cs="Arial"/>
          <w:szCs w:val="24"/>
          <w:lang w:eastAsia="cs-CZ"/>
        </w:rPr>
        <w:t> </w:t>
      </w:r>
      <w:r w:rsidRPr="0068671A">
        <w:rPr>
          <w:rFonts w:ascii="Arial" w:hAnsi="Arial" w:cs="Arial"/>
          <w:szCs w:val="24"/>
          <w:lang w:eastAsia="cs-CZ"/>
        </w:rPr>
        <w:t>následujících oblastí: participace veřejnosti, experiment jako forma odhadu dopadů, zahraničněpolitické dopady vnitřních politik).</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Výsledky budou představeny na semináři pro odbornou veřejnost s minimální účastí 20</w:t>
      </w:r>
      <w:r>
        <w:rPr>
          <w:rFonts w:ascii="Arial" w:hAnsi="Arial" w:cs="Arial"/>
          <w:szCs w:val="24"/>
          <w:lang w:eastAsia="cs-CZ"/>
        </w:rPr>
        <w:t> </w:t>
      </w:r>
      <w:r w:rsidRPr="0068671A">
        <w:rPr>
          <w:rFonts w:ascii="Arial" w:hAnsi="Arial" w:cs="Arial"/>
          <w:szCs w:val="24"/>
          <w:lang w:eastAsia="cs-CZ"/>
        </w:rPr>
        <w:t xml:space="preserve">osob. </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S KA4 souvisí rovněž jeden z aspektů KA1, a sice experimentální provedení studií koherence z hlediska příjemců.</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Výstupy</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1 návrh zlepšení systému odhadu dopadů a zajišťování koherence: rozsah 25-50 stran, formální úprava dle ČSN 01 6910 (2014) a 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1 praktický metodický nástroj v jedné z následujících oblastí: participace veřejnosti, experiment jako forma odhadu dopadů, zahraničněpolitické dopady vnitřních politik: rozsah 20-45 stran, formální úprava dle ČSN 01 6910 (2014) a</w:t>
      </w:r>
      <w:r>
        <w:rPr>
          <w:rFonts w:ascii="Arial" w:hAnsi="Arial" w:cs="Arial"/>
          <w:szCs w:val="24"/>
          <w:lang w:eastAsia="cs-CZ"/>
        </w:rPr>
        <w:t> </w:t>
      </w:r>
      <w:r w:rsidRPr="0068671A">
        <w:rPr>
          <w:rFonts w:ascii="Arial" w:hAnsi="Arial" w:cs="Arial"/>
          <w:szCs w:val="24"/>
          <w:lang w:eastAsia="cs-CZ"/>
        </w:rPr>
        <w:t>interních předpisů MŽP, seznam použitých zdrojů, grafů a ilustrací a seznam zkratek</w:t>
      </w:r>
    </w:p>
    <w:p w:rsidR="0068671A" w:rsidRPr="0068671A" w:rsidRDefault="0068671A" w:rsidP="0068671A">
      <w:pPr>
        <w:numPr>
          <w:ilvl w:val="0"/>
          <w:numId w:val="5"/>
        </w:numPr>
        <w:spacing w:after="120"/>
        <w:contextualSpacing/>
        <w:jc w:val="both"/>
        <w:rPr>
          <w:rFonts w:ascii="Arial" w:hAnsi="Arial" w:cs="Arial"/>
          <w:szCs w:val="24"/>
          <w:lang w:eastAsia="cs-CZ"/>
        </w:rPr>
      </w:pPr>
      <w:r w:rsidRPr="0068671A">
        <w:rPr>
          <w:rFonts w:ascii="Arial" w:hAnsi="Arial" w:cs="Arial"/>
          <w:szCs w:val="24"/>
          <w:lang w:eastAsia="cs-CZ"/>
        </w:rPr>
        <w:t>seminář pro veřejnou správu k šíření poznatků o koherenci politik pro udržitelný rozvoj a hodnocení dopadů na udržitelný rozvoj pro min. 20 osob; seminář připraví a zaštítí Expert/</w:t>
      </w:r>
      <w:proofErr w:type="spellStart"/>
      <w:r w:rsidRPr="0068671A">
        <w:rPr>
          <w:rFonts w:ascii="Arial" w:hAnsi="Arial" w:cs="Arial"/>
          <w:szCs w:val="24"/>
          <w:lang w:eastAsia="cs-CZ"/>
        </w:rPr>
        <w:t>ka</w:t>
      </w:r>
      <w:proofErr w:type="spellEnd"/>
      <w:r w:rsidRPr="0068671A">
        <w:rPr>
          <w:rFonts w:ascii="Arial" w:hAnsi="Arial" w:cs="Arial"/>
          <w:szCs w:val="24"/>
          <w:lang w:eastAsia="cs-CZ"/>
        </w:rPr>
        <w:t xml:space="preserve"> 14</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b/>
          <w:szCs w:val="24"/>
          <w:lang w:eastAsia="cs-CZ"/>
        </w:rPr>
      </w:pPr>
      <w:r w:rsidRPr="0068671A">
        <w:rPr>
          <w:rFonts w:ascii="Arial" w:hAnsi="Arial" w:cs="Arial"/>
          <w:b/>
          <w:szCs w:val="24"/>
          <w:lang w:eastAsia="cs-CZ"/>
        </w:rPr>
        <w:t>Klíčová aktivita č. 4: Popularizace udržitelného rozvoje a kvality života</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proofErr w:type="spellStart"/>
      <w:r w:rsidRPr="0068671A">
        <w:rPr>
          <w:rFonts w:ascii="Arial" w:hAnsi="Arial" w:cs="Arial"/>
          <w:szCs w:val="24"/>
          <w:lang w:eastAsia="cs-CZ"/>
        </w:rPr>
        <w:t>Outsourcovaná</w:t>
      </w:r>
      <w:proofErr w:type="spellEnd"/>
      <w:r w:rsidRPr="0068671A">
        <w:rPr>
          <w:rFonts w:ascii="Arial" w:hAnsi="Arial" w:cs="Arial"/>
          <w:szCs w:val="24"/>
          <w:lang w:eastAsia="cs-CZ"/>
        </w:rPr>
        <w:t xml:space="preserve"> PR kampaň á 1.000.000 Kč – komunikace výstupů, zvyšování povědomí o ČR 2030 a udržitelném rozvoji, propagace příkladů dobré praxe, příprava veřejné zakázky </w:t>
      </w:r>
      <w:r w:rsidRPr="0068671A">
        <w:rPr>
          <w:rFonts w:ascii="Arial" w:hAnsi="Arial" w:cs="Arial"/>
          <w:szCs w:val="24"/>
          <w:lang w:eastAsia="cs-CZ"/>
        </w:rPr>
        <w:lastRenderedPageBreak/>
        <w:t>in-house s využitím podkladů z projektu Udržitelný rozvoj státu (</w:t>
      </w:r>
      <w:proofErr w:type="spellStart"/>
      <w:r w:rsidRPr="0068671A">
        <w:rPr>
          <w:rFonts w:ascii="Arial" w:hAnsi="Arial" w:cs="Arial"/>
          <w:szCs w:val="24"/>
          <w:lang w:eastAsia="cs-CZ"/>
        </w:rPr>
        <w:t>reg</w:t>
      </w:r>
      <w:proofErr w:type="spellEnd"/>
      <w:r w:rsidRPr="0068671A">
        <w:rPr>
          <w:rFonts w:ascii="Arial" w:hAnsi="Arial" w:cs="Arial"/>
          <w:szCs w:val="24"/>
          <w:lang w:eastAsia="cs-CZ"/>
        </w:rPr>
        <w:t>. č. CZ.03.4.74/0.0/0.0/15_019/0002185) a navrhovaných výstupů tohoto projektu.</w:t>
      </w:r>
    </w:p>
    <w:p w:rsidR="0068671A" w:rsidRPr="0068671A" w:rsidRDefault="0068671A" w:rsidP="0068671A">
      <w:pPr>
        <w:spacing w:after="120"/>
        <w:jc w:val="both"/>
        <w:rPr>
          <w:rFonts w:ascii="Arial" w:hAnsi="Arial" w:cs="Arial"/>
          <w:szCs w:val="24"/>
          <w:lang w:eastAsia="cs-CZ"/>
        </w:rPr>
      </w:pP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Výstupy</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 xml:space="preserve">posty na sociálních sítích, </w:t>
      </w:r>
      <w:proofErr w:type="spellStart"/>
      <w:r w:rsidRPr="0068671A">
        <w:rPr>
          <w:rFonts w:ascii="Arial" w:hAnsi="Arial" w:cs="Arial"/>
          <w:szCs w:val="24"/>
          <w:lang w:eastAsia="cs-CZ"/>
        </w:rPr>
        <w:t>infografiky</w:t>
      </w:r>
      <w:proofErr w:type="spellEnd"/>
      <w:r w:rsidRPr="0068671A">
        <w:rPr>
          <w:rFonts w:ascii="Arial" w:hAnsi="Arial" w:cs="Arial"/>
          <w:szCs w:val="24"/>
          <w:lang w:eastAsia="cs-CZ"/>
        </w:rPr>
        <w:t xml:space="preserve"> a </w:t>
      </w:r>
      <w:proofErr w:type="spellStart"/>
      <w:r w:rsidRPr="0068671A">
        <w:rPr>
          <w:rFonts w:ascii="Arial" w:hAnsi="Arial" w:cs="Arial"/>
          <w:szCs w:val="24"/>
          <w:lang w:eastAsia="cs-CZ"/>
        </w:rPr>
        <w:t>promovidea</w:t>
      </w:r>
      <w:proofErr w:type="spellEnd"/>
      <w:r w:rsidRPr="0068671A">
        <w:rPr>
          <w:rFonts w:ascii="Arial" w:hAnsi="Arial" w:cs="Arial"/>
          <w:szCs w:val="24"/>
          <w:lang w:eastAsia="cs-CZ"/>
        </w:rPr>
        <w:t xml:space="preserve"> </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tisk Zpráv</w:t>
      </w:r>
    </w:p>
    <w:p w:rsidR="0068671A" w:rsidRDefault="0068671A" w:rsidP="0068671A">
      <w:pPr>
        <w:spacing w:after="120"/>
        <w:jc w:val="both"/>
        <w:rPr>
          <w:rFonts w:ascii="Arial" w:hAnsi="Arial" w:cs="Arial"/>
          <w:b/>
          <w:szCs w:val="24"/>
          <w:lang w:eastAsia="cs-CZ"/>
        </w:rPr>
      </w:pPr>
    </w:p>
    <w:p w:rsidR="0068671A" w:rsidRPr="0068671A" w:rsidRDefault="0068671A" w:rsidP="0068671A">
      <w:pPr>
        <w:spacing w:after="120"/>
        <w:jc w:val="both"/>
        <w:rPr>
          <w:rFonts w:ascii="Arial" w:hAnsi="Arial" w:cs="Arial"/>
          <w:b/>
          <w:szCs w:val="24"/>
          <w:lang w:eastAsia="cs-CZ"/>
        </w:rPr>
      </w:pPr>
      <w:r w:rsidRPr="0068671A">
        <w:rPr>
          <w:rFonts w:ascii="Arial" w:hAnsi="Arial" w:cs="Arial"/>
          <w:b/>
          <w:szCs w:val="24"/>
          <w:lang w:eastAsia="cs-CZ"/>
        </w:rPr>
        <w:t>Klíčová aktivita č. 5: Řízení a administrace projektu</w:t>
      </w:r>
    </w:p>
    <w:p w:rsidR="0068671A" w:rsidRPr="0068671A" w:rsidRDefault="0068671A" w:rsidP="0068671A">
      <w:pPr>
        <w:spacing w:after="120"/>
        <w:jc w:val="both"/>
        <w:rPr>
          <w:rFonts w:ascii="Arial" w:hAnsi="Arial" w:cs="Arial"/>
          <w:i/>
          <w:szCs w:val="24"/>
          <w:lang w:eastAsia="cs-CZ"/>
        </w:rPr>
      </w:pPr>
      <w:r w:rsidRPr="0068671A">
        <w:rPr>
          <w:rFonts w:ascii="Arial" w:hAnsi="Arial" w:cs="Arial"/>
          <w:i/>
          <w:szCs w:val="24"/>
          <w:lang w:eastAsia="cs-CZ"/>
        </w:rPr>
        <w:t>Popis</w:t>
      </w:r>
    </w:p>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Uvedená aktivita bude zahrnovat řídící a administrativní činnosti spojené s řízením realizace projektu. Jedná se o činnosti v oblasti personálního zajištění, operativního řízení projektového a finančního řízení, administrace (vykazování, zajištění publicity), přípravy a</w:t>
      </w:r>
      <w:r>
        <w:rPr>
          <w:rFonts w:ascii="Arial" w:hAnsi="Arial" w:cs="Arial"/>
          <w:szCs w:val="24"/>
          <w:lang w:eastAsia="cs-CZ"/>
        </w:rPr>
        <w:t> </w:t>
      </w:r>
      <w:r w:rsidRPr="0068671A">
        <w:rPr>
          <w:rFonts w:ascii="Arial" w:hAnsi="Arial" w:cs="Arial"/>
          <w:szCs w:val="24"/>
          <w:lang w:eastAsia="cs-CZ"/>
        </w:rPr>
        <w:t xml:space="preserve">realizace výběrových řízení veřejných </w:t>
      </w:r>
      <w:proofErr w:type="spellStart"/>
      <w:r w:rsidRPr="0068671A">
        <w:rPr>
          <w:rFonts w:ascii="Arial" w:hAnsi="Arial" w:cs="Arial"/>
          <w:szCs w:val="24"/>
          <w:lang w:eastAsia="cs-CZ"/>
        </w:rPr>
        <w:t>zakázek.</w:t>
      </w:r>
      <w:r>
        <w:rPr>
          <w:rFonts w:ascii="Arial" w:hAnsi="Arial" w:cs="Arial"/>
          <w:szCs w:val="24"/>
          <w:lang w:eastAsia="cs-CZ"/>
        </w:rPr>
        <w:t xml:space="preserve"> </w:t>
      </w:r>
      <w:proofErr w:type="spellEnd"/>
      <w:proofErr w:type="gramStart"/>
      <w:r w:rsidRPr="0068671A">
        <w:rPr>
          <w:rFonts w:ascii="Arial" w:hAnsi="Arial" w:cs="Arial"/>
          <w:szCs w:val="24"/>
          <w:lang w:eastAsia="cs-CZ"/>
        </w:rPr>
        <w:t>V</w:t>
      </w:r>
      <w:proofErr w:type="gramEnd"/>
      <w:r w:rsidRPr="0068671A">
        <w:rPr>
          <w:rFonts w:ascii="Arial" w:hAnsi="Arial" w:cs="Arial"/>
          <w:szCs w:val="24"/>
          <w:lang w:eastAsia="cs-CZ"/>
        </w:rPr>
        <w:t xml:space="preserve"> rámci aktivity budou provedeny tyto aktivity:</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koordinace v rámci MŽP a s partnery projektu, administrativně technická podpora při realizaci klíčových aktivit</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zajištění prostor a podmínek pro práci týmu (vybavení potřebnou technikou apod.) - kancelářské prostory pro RT vybavené adekvátně charakteru a potřebám projektu</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zavedení a uplatňování řídících postupů a kontrolních mechanismů s ohledem na vnitřní předpisy žadatele</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projektové řízení (sledování harmonogramu, řízení rizik, řízení změn) – žádosti o</w:t>
      </w:r>
      <w:r>
        <w:rPr>
          <w:rFonts w:ascii="Arial" w:hAnsi="Arial" w:cs="Arial"/>
          <w:szCs w:val="24"/>
          <w:lang w:eastAsia="cs-CZ"/>
        </w:rPr>
        <w:t> </w:t>
      </w:r>
      <w:r w:rsidRPr="0068671A">
        <w:rPr>
          <w:rFonts w:ascii="Arial" w:hAnsi="Arial" w:cs="Arial"/>
          <w:szCs w:val="24"/>
          <w:lang w:eastAsia="cs-CZ"/>
        </w:rPr>
        <w:t>podstatné a nepodstatné změny v projektu, interní materiály a postupy, řešení odborných či organizačně technických problémů realizace projektu v souladu vnitřními pravidly MŽP a MMR, uplatněné řídící postupy a kontrolní mechanismy projektu, archiv projektové dokumentace, podklady ke kontrole / kontrolám</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finanční řízení (kontrola čerpání rozpočtu, vykazování, zpracování žádostí o platbu) a monitorování postupu věcné realizace projektu (plnění harmonogramu, zpracování zpráv o realizaci, zpracování žádostí o změny) - Zprávy o realizaci projektu a Žádosti o platbu</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komunikace s Řídícím orgánem (konzultace, změny, kontroly)</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příprava a administrace veřejných zakázek (vyhlašování, zpracování dokumentace, zajištění smluv), zadání a vyhodnocení průzkumů trhu</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operativní řízení (porady členů týmu, reporty o pokroku realizace)</w:t>
      </w:r>
    </w:p>
    <w:p w:rsidR="0068671A" w:rsidRPr="0068671A" w:rsidRDefault="0068671A" w:rsidP="0068671A">
      <w:pPr>
        <w:numPr>
          <w:ilvl w:val="0"/>
          <w:numId w:val="6"/>
        </w:numPr>
        <w:spacing w:after="120"/>
        <w:contextualSpacing/>
        <w:jc w:val="both"/>
        <w:rPr>
          <w:rFonts w:ascii="Arial" w:hAnsi="Arial" w:cs="Arial"/>
          <w:szCs w:val="24"/>
          <w:lang w:eastAsia="cs-CZ"/>
        </w:rPr>
      </w:pPr>
      <w:r w:rsidRPr="0068671A">
        <w:rPr>
          <w:rFonts w:ascii="Arial" w:hAnsi="Arial" w:cs="Arial"/>
          <w:szCs w:val="24"/>
          <w:lang w:eastAsia="cs-CZ"/>
        </w:rPr>
        <w:t>koordinace zajištění publicity – prvky vizuální identity dle pravidel OPZ</w:t>
      </w:r>
    </w:p>
    <w:p w:rsidR="0068671A" w:rsidRPr="0068671A" w:rsidRDefault="0068671A" w:rsidP="0068671A">
      <w:pPr>
        <w:spacing w:after="120"/>
        <w:jc w:val="both"/>
        <w:rPr>
          <w:rFonts w:ascii="Arial" w:hAnsi="Arial" w:cs="Arial"/>
          <w:szCs w:val="24"/>
          <w:lang w:eastAsia="cs-CZ"/>
        </w:rPr>
      </w:pPr>
    </w:p>
    <w:p w:rsidR="0068671A" w:rsidRDefault="0068671A" w:rsidP="0068671A">
      <w:pPr>
        <w:keepNext/>
        <w:spacing w:before="120" w:after="120"/>
        <w:outlineLvl w:val="0"/>
        <w:rPr>
          <w:rFonts w:ascii="Arial" w:hAnsi="Arial" w:cs="Arial"/>
          <w:b/>
          <w:bCs/>
          <w:sz w:val="28"/>
          <w:szCs w:val="24"/>
          <w:lang w:eastAsia="cs-CZ"/>
        </w:rPr>
      </w:pPr>
    </w:p>
    <w:p w:rsidR="0068671A" w:rsidRPr="0068671A" w:rsidRDefault="0068671A" w:rsidP="0068671A">
      <w:pPr>
        <w:keepNext/>
        <w:spacing w:before="120" w:after="120"/>
        <w:outlineLvl w:val="0"/>
        <w:rPr>
          <w:rFonts w:ascii="Arial" w:hAnsi="Arial" w:cs="Arial"/>
          <w:b/>
          <w:bCs/>
          <w:sz w:val="28"/>
          <w:szCs w:val="24"/>
          <w:lang w:eastAsia="cs-CZ"/>
        </w:rPr>
      </w:pPr>
      <w:r w:rsidRPr="0068671A">
        <w:rPr>
          <w:rFonts w:ascii="Arial" w:hAnsi="Arial" w:cs="Arial"/>
          <w:b/>
          <w:bCs/>
          <w:sz w:val="28"/>
          <w:szCs w:val="24"/>
          <w:lang w:eastAsia="cs-CZ"/>
        </w:rPr>
        <w:t>Realizační tým projektu</w:t>
      </w:r>
    </w:p>
    <w:tbl>
      <w:tblPr>
        <w:tblStyle w:val="Mkatabulky1"/>
        <w:tblW w:w="0" w:type="auto"/>
        <w:tblLook w:val="04A0" w:firstRow="1" w:lastRow="0" w:firstColumn="1" w:lastColumn="0" w:noHBand="0" w:noVBand="1"/>
      </w:tblPr>
      <w:tblGrid>
        <w:gridCol w:w="1510"/>
        <w:gridCol w:w="2454"/>
        <w:gridCol w:w="1560"/>
        <w:gridCol w:w="1134"/>
        <w:gridCol w:w="1417"/>
      </w:tblGrid>
      <w:tr w:rsidR="0068671A" w:rsidRPr="0068671A" w:rsidTr="00DD4786">
        <w:tc>
          <w:tcPr>
            <w:tcW w:w="1510" w:type="dxa"/>
          </w:tcPr>
          <w:p w:rsidR="0068671A" w:rsidRPr="0068671A" w:rsidRDefault="0068671A" w:rsidP="0068671A">
            <w:pPr>
              <w:spacing w:after="120"/>
              <w:jc w:val="both"/>
              <w:rPr>
                <w:rFonts w:ascii="Arial" w:hAnsi="Arial" w:cs="Arial"/>
                <w:szCs w:val="24"/>
                <w:lang w:eastAsia="cs-CZ"/>
              </w:rPr>
            </w:pPr>
          </w:p>
        </w:tc>
        <w:tc>
          <w:tcPr>
            <w:tcW w:w="2454"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KA 1 + KA 2</w:t>
            </w:r>
          </w:p>
        </w:tc>
        <w:tc>
          <w:tcPr>
            <w:tcW w:w="1560"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KA 3</w:t>
            </w:r>
          </w:p>
        </w:tc>
        <w:tc>
          <w:tcPr>
            <w:tcW w:w="1134"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KA 4</w:t>
            </w:r>
          </w:p>
        </w:tc>
        <w:tc>
          <w:tcPr>
            <w:tcW w:w="1417"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KA 5</w:t>
            </w:r>
          </w:p>
        </w:tc>
      </w:tr>
      <w:tr w:rsidR="0068671A" w:rsidRPr="0068671A" w:rsidTr="00DD4786">
        <w:tc>
          <w:tcPr>
            <w:tcW w:w="1510"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MŽP</w:t>
            </w:r>
          </w:p>
        </w:tc>
        <w:tc>
          <w:tcPr>
            <w:tcW w:w="2454"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3 HPP, 1 DPČ, DPP</w:t>
            </w:r>
          </w:p>
        </w:tc>
        <w:tc>
          <w:tcPr>
            <w:tcW w:w="1560"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1 HPP, DPP</w:t>
            </w:r>
          </w:p>
        </w:tc>
        <w:tc>
          <w:tcPr>
            <w:tcW w:w="1134"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1 DPČ</w:t>
            </w:r>
          </w:p>
        </w:tc>
        <w:tc>
          <w:tcPr>
            <w:tcW w:w="1417"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0,5 HPP</w:t>
            </w:r>
          </w:p>
        </w:tc>
      </w:tr>
      <w:tr w:rsidR="0068671A" w:rsidRPr="0068671A" w:rsidTr="00DD4786">
        <w:tc>
          <w:tcPr>
            <w:tcW w:w="1510"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MMR</w:t>
            </w:r>
          </w:p>
        </w:tc>
        <w:tc>
          <w:tcPr>
            <w:tcW w:w="2454"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2,5 HPP</w:t>
            </w:r>
          </w:p>
        </w:tc>
        <w:tc>
          <w:tcPr>
            <w:tcW w:w="1560" w:type="dxa"/>
          </w:tcPr>
          <w:p w:rsidR="0068671A" w:rsidRPr="0068671A" w:rsidRDefault="0068671A" w:rsidP="0068671A">
            <w:pPr>
              <w:spacing w:after="120"/>
              <w:jc w:val="both"/>
              <w:rPr>
                <w:rFonts w:ascii="Arial" w:hAnsi="Arial" w:cs="Arial"/>
                <w:szCs w:val="24"/>
                <w:lang w:eastAsia="cs-CZ"/>
              </w:rPr>
            </w:pPr>
          </w:p>
        </w:tc>
        <w:tc>
          <w:tcPr>
            <w:tcW w:w="1134" w:type="dxa"/>
          </w:tcPr>
          <w:p w:rsidR="0068671A" w:rsidRPr="0068671A" w:rsidRDefault="0068671A" w:rsidP="0068671A">
            <w:pPr>
              <w:spacing w:after="120"/>
              <w:jc w:val="both"/>
              <w:rPr>
                <w:rFonts w:ascii="Arial" w:hAnsi="Arial" w:cs="Arial"/>
                <w:szCs w:val="24"/>
                <w:lang w:eastAsia="cs-CZ"/>
              </w:rPr>
            </w:pPr>
          </w:p>
        </w:tc>
        <w:tc>
          <w:tcPr>
            <w:tcW w:w="1417"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0,35 HPP</w:t>
            </w:r>
          </w:p>
        </w:tc>
      </w:tr>
      <w:tr w:rsidR="0068671A" w:rsidRPr="0068671A" w:rsidTr="00DD4786">
        <w:tc>
          <w:tcPr>
            <w:tcW w:w="1510"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CENIA</w:t>
            </w:r>
          </w:p>
        </w:tc>
        <w:tc>
          <w:tcPr>
            <w:tcW w:w="2454"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1,75 HPP</w:t>
            </w:r>
          </w:p>
        </w:tc>
        <w:tc>
          <w:tcPr>
            <w:tcW w:w="1560" w:type="dxa"/>
          </w:tcPr>
          <w:p w:rsidR="0068671A" w:rsidRPr="0068671A" w:rsidRDefault="0068671A" w:rsidP="0068671A">
            <w:pPr>
              <w:spacing w:after="120"/>
              <w:jc w:val="both"/>
              <w:rPr>
                <w:rFonts w:ascii="Arial" w:hAnsi="Arial" w:cs="Arial"/>
                <w:szCs w:val="24"/>
                <w:lang w:eastAsia="cs-CZ"/>
              </w:rPr>
            </w:pPr>
          </w:p>
        </w:tc>
        <w:tc>
          <w:tcPr>
            <w:tcW w:w="1134" w:type="dxa"/>
          </w:tcPr>
          <w:p w:rsidR="0068671A" w:rsidRPr="0068671A" w:rsidRDefault="0068671A" w:rsidP="0068671A">
            <w:pPr>
              <w:spacing w:after="120"/>
              <w:jc w:val="both"/>
              <w:rPr>
                <w:rFonts w:ascii="Arial" w:hAnsi="Arial" w:cs="Arial"/>
                <w:szCs w:val="24"/>
                <w:lang w:eastAsia="cs-CZ"/>
              </w:rPr>
            </w:pPr>
          </w:p>
        </w:tc>
        <w:tc>
          <w:tcPr>
            <w:tcW w:w="1417"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0,25 HPP</w:t>
            </w:r>
          </w:p>
        </w:tc>
      </w:tr>
      <w:tr w:rsidR="0068671A" w:rsidRPr="0068671A" w:rsidTr="00DD4786">
        <w:tc>
          <w:tcPr>
            <w:tcW w:w="1510" w:type="dxa"/>
          </w:tcPr>
          <w:p w:rsidR="0068671A" w:rsidRPr="0068671A" w:rsidRDefault="0068671A" w:rsidP="0068671A">
            <w:pPr>
              <w:spacing w:after="120"/>
              <w:jc w:val="center"/>
              <w:rPr>
                <w:rFonts w:ascii="Arial" w:hAnsi="Arial" w:cs="Arial"/>
                <w:szCs w:val="24"/>
                <w:lang w:eastAsia="cs-CZ"/>
              </w:rPr>
            </w:pPr>
            <w:r w:rsidRPr="0068671A">
              <w:rPr>
                <w:rFonts w:ascii="Arial" w:hAnsi="Arial" w:cs="Arial"/>
                <w:szCs w:val="24"/>
                <w:lang w:eastAsia="cs-CZ"/>
              </w:rPr>
              <w:t>ČSÚ</w:t>
            </w:r>
          </w:p>
        </w:tc>
        <w:tc>
          <w:tcPr>
            <w:tcW w:w="2454"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2 HPP, 2 DPČ</w:t>
            </w:r>
          </w:p>
        </w:tc>
        <w:tc>
          <w:tcPr>
            <w:tcW w:w="1560" w:type="dxa"/>
          </w:tcPr>
          <w:p w:rsidR="0068671A" w:rsidRPr="0068671A" w:rsidRDefault="0068671A" w:rsidP="0068671A">
            <w:pPr>
              <w:spacing w:after="120"/>
              <w:jc w:val="both"/>
              <w:rPr>
                <w:rFonts w:ascii="Arial" w:hAnsi="Arial" w:cs="Arial"/>
                <w:szCs w:val="24"/>
                <w:lang w:eastAsia="cs-CZ"/>
              </w:rPr>
            </w:pPr>
          </w:p>
        </w:tc>
        <w:tc>
          <w:tcPr>
            <w:tcW w:w="1134" w:type="dxa"/>
          </w:tcPr>
          <w:p w:rsidR="0068671A" w:rsidRPr="0068671A" w:rsidRDefault="0068671A" w:rsidP="0068671A">
            <w:pPr>
              <w:spacing w:after="120"/>
              <w:jc w:val="both"/>
              <w:rPr>
                <w:rFonts w:ascii="Arial" w:hAnsi="Arial" w:cs="Arial"/>
                <w:szCs w:val="24"/>
                <w:lang w:eastAsia="cs-CZ"/>
              </w:rPr>
            </w:pPr>
          </w:p>
        </w:tc>
        <w:tc>
          <w:tcPr>
            <w:tcW w:w="1417" w:type="dxa"/>
          </w:tcPr>
          <w:p w:rsidR="0068671A" w:rsidRPr="0068671A" w:rsidRDefault="0068671A" w:rsidP="0068671A">
            <w:pPr>
              <w:spacing w:after="120"/>
              <w:jc w:val="both"/>
              <w:rPr>
                <w:rFonts w:ascii="Arial" w:hAnsi="Arial" w:cs="Arial"/>
                <w:szCs w:val="24"/>
                <w:lang w:eastAsia="cs-CZ"/>
              </w:rPr>
            </w:pPr>
            <w:r w:rsidRPr="0068671A">
              <w:rPr>
                <w:rFonts w:ascii="Arial" w:hAnsi="Arial" w:cs="Arial"/>
                <w:szCs w:val="24"/>
                <w:lang w:eastAsia="cs-CZ"/>
              </w:rPr>
              <w:t>0,25 HPP</w:t>
            </w:r>
          </w:p>
        </w:tc>
      </w:tr>
    </w:tbl>
    <w:p w:rsidR="0068671A" w:rsidRPr="0068671A" w:rsidRDefault="0068671A" w:rsidP="0068671A">
      <w:pPr>
        <w:spacing w:after="120"/>
        <w:jc w:val="both"/>
        <w:rPr>
          <w:rFonts w:ascii="Arial" w:hAnsi="Arial" w:cs="Arial"/>
          <w:szCs w:val="24"/>
          <w:lang w:eastAsia="cs-CZ"/>
        </w:rPr>
      </w:pPr>
    </w:p>
    <w:p w:rsidR="005622F1" w:rsidRDefault="005622F1" w:rsidP="005622F1">
      <w:pPr>
        <w:rPr>
          <w:rFonts w:ascii="Arial" w:hAnsi="Arial" w:cs="Arial"/>
          <w:b/>
          <w:sz w:val="20"/>
          <w:szCs w:val="20"/>
        </w:rPr>
      </w:pPr>
    </w:p>
    <w:sectPr w:rsidR="005622F1" w:rsidSect="0068671A">
      <w:headerReference w:type="default" r:id="rId8"/>
      <w:footerReference w:type="default" r:id="rId9"/>
      <w:headerReference w:type="first" r:id="rId10"/>
      <w:footerReference w:type="first" r:id="rId11"/>
      <w:type w:val="continuous"/>
      <w:pgSz w:w="11906" w:h="16838"/>
      <w:pgMar w:top="851" w:right="1134" w:bottom="1418" w:left="1134"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BF3" w:rsidRDefault="00FC3BF3" w:rsidP="0084712F">
      <w:pPr>
        <w:spacing w:after="0" w:line="240" w:lineRule="auto"/>
      </w:pPr>
      <w:r>
        <w:separator/>
      </w:r>
    </w:p>
  </w:endnote>
  <w:endnote w:type="continuationSeparator" w:id="0">
    <w:p w:rsidR="00FC3BF3" w:rsidRDefault="00FC3BF3" w:rsidP="00847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06E" w:rsidRPr="00280601" w:rsidRDefault="00D2406E" w:rsidP="00280601">
    <w:pPr>
      <w:spacing w:after="0"/>
      <w:jc w:val="right"/>
      <w:rPr>
        <w:sz w:val="16"/>
        <w:szCs w:val="16"/>
      </w:rPr>
    </w:pPr>
  </w:p>
  <w:p w:rsidR="00D2406E" w:rsidRPr="009F2C17" w:rsidRDefault="00720DB2" w:rsidP="00280601">
    <w:pPr>
      <w:spacing w:after="0"/>
      <w:jc w:val="right"/>
      <w:rPr>
        <w:rFonts w:ascii="Arial" w:hAnsi="Arial" w:cs="Arial"/>
        <w:sz w:val="16"/>
        <w:szCs w:val="16"/>
      </w:rPr>
    </w:pPr>
    <w:r w:rsidRPr="009F2C17">
      <w:rPr>
        <w:rFonts w:ascii="Arial" w:hAnsi="Arial" w:cs="Arial"/>
        <w:sz w:val="16"/>
        <w:szCs w:val="16"/>
      </w:rPr>
      <w:fldChar w:fldCharType="begin"/>
    </w:r>
    <w:r w:rsidR="00D2406E" w:rsidRPr="009F2C17">
      <w:rPr>
        <w:rFonts w:ascii="Arial" w:hAnsi="Arial" w:cs="Arial"/>
        <w:sz w:val="16"/>
        <w:szCs w:val="16"/>
      </w:rPr>
      <w:instrText xml:space="preserve"> PAGE </w:instrText>
    </w:r>
    <w:r w:rsidRPr="009F2C17">
      <w:rPr>
        <w:rFonts w:ascii="Arial" w:hAnsi="Arial" w:cs="Arial"/>
        <w:sz w:val="16"/>
        <w:szCs w:val="16"/>
      </w:rPr>
      <w:fldChar w:fldCharType="separate"/>
    </w:r>
    <w:r w:rsidR="00885070">
      <w:rPr>
        <w:rFonts w:ascii="Arial" w:hAnsi="Arial" w:cs="Arial"/>
        <w:noProof/>
        <w:sz w:val="16"/>
        <w:szCs w:val="16"/>
      </w:rPr>
      <w:t>2</w:t>
    </w:r>
    <w:r w:rsidRPr="009F2C17">
      <w:rPr>
        <w:rFonts w:ascii="Arial" w:hAnsi="Arial" w:cs="Arial"/>
        <w:sz w:val="16"/>
        <w:szCs w:val="16"/>
      </w:rPr>
      <w:fldChar w:fldCharType="end"/>
    </w:r>
    <w:r w:rsidR="00D2406E" w:rsidRPr="009F2C17">
      <w:rPr>
        <w:rFonts w:ascii="Arial" w:hAnsi="Arial" w:cs="Arial"/>
        <w:sz w:val="16"/>
        <w:szCs w:val="16"/>
        <w:lang w:val="en-US"/>
      </w:rPr>
      <w:t>/</w:t>
    </w:r>
    <w:r w:rsidRPr="009F2C17">
      <w:rPr>
        <w:rFonts w:ascii="Arial" w:hAnsi="Arial" w:cs="Arial"/>
        <w:sz w:val="16"/>
        <w:szCs w:val="16"/>
      </w:rPr>
      <w:fldChar w:fldCharType="begin"/>
    </w:r>
    <w:r w:rsidR="00D2406E" w:rsidRPr="009F2C17">
      <w:rPr>
        <w:rFonts w:ascii="Arial" w:hAnsi="Arial" w:cs="Arial"/>
        <w:sz w:val="16"/>
        <w:szCs w:val="16"/>
      </w:rPr>
      <w:instrText xml:space="preserve"> NUMPAGES  </w:instrText>
    </w:r>
    <w:r w:rsidRPr="009F2C17">
      <w:rPr>
        <w:rFonts w:ascii="Arial" w:hAnsi="Arial" w:cs="Arial"/>
        <w:sz w:val="16"/>
        <w:szCs w:val="16"/>
      </w:rPr>
      <w:fldChar w:fldCharType="separate"/>
    </w:r>
    <w:r w:rsidR="00885070">
      <w:rPr>
        <w:rFonts w:ascii="Arial" w:hAnsi="Arial" w:cs="Arial"/>
        <w:noProof/>
        <w:sz w:val="16"/>
        <w:szCs w:val="16"/>
      </w:rPr>
      <w:t>2</w:t>
    </w:r>
    <w:r w:rsidRPr="009F2C17">
      <w:rPr>
        <w:rFonts w:ascii="Arial" w:hAnsi="Arial" w:cs="Arial"/>
        <w:sz w:val="16"/>
        <w:szCs w:val="16"/>
      </w:rPr>
      <w:fldChar w:fldCharType="end"/>
    </w:r>
  </w:p>
  <w:p w:rsidR="00D2406E" w:rsidRPr="00280601" w:rsidRDefault="00D2406E" w:rsidP="00280601">
    <w:pPr>
      <w:spacing w:after="0"/>
      <w:jc w:val="right"/>
      <w:rPr>
        <w:sz w:val="16"/>
        <w:szCs w:val="16"/>
      </w:rPr>
    </w:pPr>
  </w:p>
  <w:p w:rsidR="00D2406E" w:rsidRPr="00280601" w:rsidRDefault="004055CE" w:rsidP="000C2539">
    <w:pPr>
      <w:pStyle w:val="Zpat"/>
      <w:tabs>
        <w:tab w:val="clear" w:pos="9072"/>
        <w:tab w:val="right" w:pos="9639"/>
      </w:tabs>
      <w:jc w:val="center"/>
      <w:rPr>
        <w:sz w:val="16"/>
        <w:szCs w:val="16"/>
      </w:rPr>
    </w:pPr>
    <w:r>
      <w:rPr>
        <w:noProof/>
        <w:sz w:val="16"/>
        <w:szCs w:val="16"/>
        <w:lang w:eastAsia="cs-CZ"/>
      </w:rPr>
      <mc:AlternateContent>
        <mc:Choice Requires="wps">
          <w:drawing>
            <wp:anchor distT="0" distB="0" distL="114300" distR="114300" simplePos="0" relativeHeight="251659264" behindDoc="0" locked="0" layoutInCell="1" allowOverlap="1" wp14:anchorId="4A292F85" wp14:editId="2910E08D">
              <wp:simplePos x="0" y="0"/>
              <wp:positionH relativeFrom="column">
                <wp:posOffset>20320</wp:posOffset>
              </wp:positionH>
              <wp:positionV relativeFrom="paragraph">
                <wp:posOffset>20955</wp:posOffset>
              </wp:positionV>
              <wp:extent cx="5760085" cy="0"/>
              <wp:effectExtent l="10795" t="11430" r="1079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E7162" id="_x0000_t32" coordsize="21600,21600" o:spt="32" o:oned="t" path="m,l21600,21600e" filled="f">
              <v:path arrowok="t" fillok="f" o:connecttype="none"/>
              <o:lock v:ext="edit" shapetype="t"/>
            </v:shapetype>
            <v:shape id="AutoShape 1" o:spid="_x0000_s1026" type="#_x0000_t32" style="position:absolute;margin-left:1.6pt;margin-top:1.65pt;width:453.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vi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"/>
          </w:pict>
        </mc:Fallback>
      </mc:AlternateContent>
    </w:r>
  </w:p>
  <w:p w:rsidR="00D2406E" w:rsidRPr="00280601" w:rsidRDefault="00D2406E" w:rsidP="000C2539">
    <w:pPr>
      <w:pStyle w:val="Zpat"/>
      <w:tabs>
        <w:tab w:val="clear" w:pos="9072"/>
        <w:tab w:val="right" w:pos="9639"/>
      </w:tabs>
      <w:jc w:val="center"/>
      <w:rPr>
        <w:sz w:val="16"/>
        <w:szCs w:val="16"/>
      </w:rPr>
    </w:pPr>
    <w:r w:rsidRPr="00AD2857">
      <w:rPr>
        <w:rFonts w:ascii="Arial" w:hAnsi="Arial" w:cs="Arial"/>
        <w:sz w:val="16"/>
        <w:szCs w:val="16"/>
      </w:rPr>
      <w:t>Ministerstvo životního prostředí,</w:t>
    </w:r>
    <w:r>
      <w:rPr>
        <w:rFonts w:ascii="Arial" w:hAnsi="Arial" w:cs="Arial"/>
        <w:sz w:val="16"/>
        <w:szCs w:val="16"/>
      </w:rPr>
      <w:t xml:space="preserve"> Vršovická 65, 100 10 Praha 10, (+420) 2</w:t>
    </w:r>
    <w:r w:rsidRPr="00AD2857">
      <w:rPr>
        <w:rFonts w:ascii="Arial" w:hAnsi="Arial" w:cs="Arial"/>
        <w:sz w:val="16"/>
        <w:szCs w:val="16"/>
      </w:rPr>
      <w:t>6712-1111</w:t>
    </w:r>
    <w:r>
      <w:rPr>
        <w:rFonts w:ascii="Arial" w:hAnsi="Arial" w:cs="Arial"/>
        <w:sz w:val="16"/>
        <w:szCs w:val="16"/>
      </w:rPr>
      <w:t>, www.mzp.cz, info@mzp.cz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06E" w:rsidRDefault="00D2406E" w:rsidP="00280601">
    <w:pPr>
      <w:spacing w:after="0"/>
      <w:jc w:val="right"/>
      <w:rPr>
        <w:rFonts w:ascii="Arial" w:hAnsi="Arial" w:cs="Arial"/>
        <w:sz w:val="18"/>
        <w:szCs w:val="18"/>
      </w:rPr>
    </w:pPr>
  </w:p>
  <w:p w:rsidR="00D2406E" w:rsidRDefault="00D2406E" w:rsidP="00280601">
    <w:pPr>
      <w:spacing w:after="0"/>
      <w:jc w:val="right"/>
      <w:rPr>
        <w:rFonts w:ascii="Arial" w:hAnsi="Arial" w:cs="Arial"/>
        <w:sz w:val="18"/>
        <w:szCs w:val="18"/>
      </w:rPr>
    </w:pPr>
  </w:p>
  <w:p w:rsidR="00D2406E" w:rsidRPr="00AD2857" w:rsidRDefault="00D2406E" w:rsidP="00280601">
    <w:pPr>
      <w:spacing w:after="0"/>
      <w:jc w:val="right"/>
      <w:rPr>
        <w:rFonts w:ascii="Arial" w:hAnsi="Arial" w:cs="Arial"/>
        <w:sz w:val="18"/>
        <w:szCs w:val="18"/>
      </w:rPr>
    </w:pPr>
  </w:p>
  <w:p w:rsidR="00D2406E" w:rsidRDefault="004055CE" w:rsidP="000C2539">
    <w:pPr>
      <w:pStyle w:val="Zpat"/>
      <w:tabs>
        <w:tab w:val="clear" w:pos="9072"/>
        <w:tab w:val="right" w:pos="9639"/>
      </w:tabs>
      <w:jc w:val="center"/>
      <w:rPr>
        <w:rFonts w:ascii="Arial" w:hAnsi="Arial" w:cs="Arial"/>
        <w:sz w:val="16"/>
        <w:szCs w:val="16"/>
      </w:rPr>
    </w:pPr>
    <w:r>
      <w:rPr>
        <w:rFonts w:ascii="Arial" w:hAnsi="Arial" w:cs="Arial"/>
        <w:noProof/>
        <w:sz w:val="18"/>
        <w:szCs w:val="18"/>
        <w:lang w:eastAsia="cs-CZ"/>
      </w:rPr>
      <mc:AlternateContent>
        <mc:Choice Requires="wps">
          <w:drawing>
            <wp:anchor distT="0" distB="0" distL="114300" distR="114300" simplePos="0" relativeHeight="251658240" behindDoc="0" locked="0" layoutInCell="1" allowOverlap="1">
              <wp:simplePos x="0" y="0"/>
              <wp:positionH relativeFrom="column">
                <wp:posOffset>20320</wp:posOffset>
              </wp:positionH>
              <wp:positionV relativeFrom="paragraph">
                <wp:posOffset>4445</wp:posOffset>
              </wp:positionV>
              <wp:extent cx="6120130" cy="635"/>
              <wp:effectExtent l="10795" t="13970" r="12700"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45BD8A" id="_x0000_t32" coordsize="21600,21600" o:spt="32" o:oned="t" path="m,l21600,21600e" filled="f">
              <v:path arrowok="t" fillok="f" o:connecttype="none"/>
              <o:lock v:ext="edit" shapetype="t"/>
            </v:shapetype>
            <v:shape id="AutoShape 3" o:spid="_x0000_s1026" type="#_x0000_t32" style="position:absolute;margin-left:1.6pt;margin-top:.35pt;width:481.9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"/>
          </w:pict>
        </mc:Fallback>
      </mc:AlternateContent>
    </w:r>
  </w:p>
  <w:p w:rsidR="00D2406E" w:rsidRPr="00AD2857" w:rsidRDefault="00D2406E" w:rsidP="000C2539">
    <w:pPr>
      <w:pStyle w:val="Zpat"/>
      <w:tabs>
        <w:tab w:val="clear" w:pos="9072"/>
        <w:tab w:val="right" w:pos="9639"/>
      </w:tabs>
      <w:jc w:val="center"/>
      <w:rPr>
        <w:rFonts w:ascii="Arial" w:hAnsi="Arial" w:cs="Arial"/>
        <w:sz w:val="18"/>
        <w:szCs w:val="18"/>
      </w:rPr>
    </w:pPr>
    <w:r w:rsidRPr="00AD2857">
      <w:rPr>
        <w:rFonts w:ascii="Arial" w:hAnsi="Arial" w:cs="Arial"/>
        <w:sz w:val="16"/>
        <w:szCs w:val="16"/>
      </w:rPr>
      <w:t>Ministerstvo životního prostředí,</w:t>
    </w:r>
    <w:r>
      <w:rPr>
        <w:rFonts w:ascii="Arial" w:hAnsi="Arial" w:cs="Arial"/>
        <w:sz w:val="16"/>
        <w:szCs w:val="16"/>
      </w:rPr>
      <w:t xml:space="preserve"> Vršovická 65, 100 10 Praha 10, (+420) 2</w:t>
    </w:r>
    <w:r w:rsidRPr="00AD2857">
      <w:rPr>
        <w:rFonts w:ascii="Arial" w:hAnsi="Arial" w:cs="Arial"/>
        <w:sz w:val="16"/>
        <w:szCs w:val="16"/>
      </w:rPr>
      <w:t>6712-1111</w:t>
    </w:r>
    <w:r>
      <w:rPr>
        <w:rFonts w:ascii="Arial" w:hAnsi="Arial" w:cs="Arial"/>
        <w:sz w:val="16"/>
        <w:szCs w:val="16"/>
      </w:rPr>
      <w:t>, www.mzp.cz, info@mzp.cz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BF3" w:rsidRDefault="00FC3BF3" w:rsidP="0084712F">
      <w:pPr>
        <w:spacing w:after="0" w:line="240" w:lineRule="auto"/>
      </w:pPr>
      <w:r>
        <w:separator/>
      </w:r>
    </w:p>
  </w:footnote>
  <w:footnote w:type="continuationSeparator" w:id="0">
    <w:p w:rsidR="00FC3BF3" w:rsidRDefault="00FC3BF3" w:rsidP="00847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06E" w:rsidRPr="00D2406E" w:rsidRDefault="00D2406E" w:rsidP="008A543E">
    <w:pPr>
      <w:pStyle w:val="Zhlav"/>
      <w:tabs>
        <w:tab w:val="clear" w:pos="4536"/>
        <w:tab w:val="clear" w:pos="9072"/>
        <w:tab w:val="left" w:pos="5670"/>
        <w:tab w:val="left" w:pos="6946"/>
        <w:tab w:val="right" w:pos="9639"/>
      </w:tabs>
      <w:rPr>
        <w:rFonts w:ascii="Arial" w:hAnsi="Arial" w:cs="Arial"/>
        <w:szCs w:val="24"/>
      </w:rPr>
    </w:pPr>
  </w:p>
  <w:p w:rsidR="00D2406E" w:rsidRPr="00D2406E" w:rsidRDefault="00D2406E" w:rsidP="0084712F">
    <w:pPr>
      <w:pStyle w:val="Zhlav"/>
      <w:tabs>
        <w:tab w:val="clear" w:pos="4536"/>
        <w:tab w:val="clear" w:pos="9072"/>
        <w:tab w:val="center" w:pos="5387"/>
        <w:tab w:val="right" w:pos="9639"/>
      </w:tabs>
      <w:rPr>
        <w:rFonts w:ascii="Arial" w:hAnsi="Arial" w:cs="Arial"/>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06E" w:rsidRDefault="00FC3BF3" w:rsidP="006810B8">
    <w:pPr>
      <w:pStyle w:val="Zhlav"/>
      <w:tabs>
        <w:tab w:val="clear" w:pos="4536"/>
        <w:tab w:val="clear" w:pos="9072"/>
        <w:tab w:val="left" w:pos="5670"/>
        <w:tab w:val="left" w:pos="6804"/>
        <w:tab w:val="right" w:pos="9639"/>
      </w:tabs>
      <w:rPr>
        <w:rFonts w:ascii="Arial" w:hAnsi="Arial" w:cs="Arial"/>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48.3pt;margin-top:-25.75pt;width:197.65pt;height:42.7pt;z-index:-251653120;mso-position-horizontal-relative:text;mso-position-vertical-relative:text;mso-width-relative:page;mso-height-relative:page" wrapcoords="-69 0 -69 21282 21600 21282 21600 0 -69 0">
          <v:imagedata r:id="rId1" o:title="logoMŽP"/>
          <w10:wrap type="tight"/>
        </v:shape>
      </w:pict>
    </w:r>
    <w:r>
      <w:rPr>
        <w:noProof/>
      </w:rPr>
      <w:pict>
        <v:shape id="_x0000_s2049" type="#_x0000_t75" style="position:absolute;margin-left:-11.8pt;margin-top:-27.55pt;width:220.7pt;height:45.85pt;z-index:-251655168;mso-position-horizontal-relative:text;mso-position-vertical-relative:text;mso-width-relative:page;mso-height-relative:page" wrapcoords="-40 0 -40 21409 21600 21409 21600 0 -40 0">
          <v:imagedata r:id="rId2" o:title="Logo OPZ barevné"/>
          <w10:wrap type="tight"/>
        </v:shape>
      </w:pict>
    </w:r>
  </w:p>
  <w:p w:rsidR="006F728E" w:rsidRPr="00D2406E" w:rsidRDefault="006F728E" w:rsidP="006810B8">
    <w:pPr>
      <w:pStyle w:val="Zhlav"/>
      <w:tabs>
        <w:tab w:val="clear" w:pos="4536"/>
        <w:tab w:val="clear" w:pos="9072"/>
        <w:tab w:val="left" w:pos="5670"/>
        <w:tab w:val="left" w:pos="6804"/>
        <w:tab w:val="right" w:pos="9639"/>
      </w:tabs>
      <w:rPr>
        <w:rFonts w:ascii="Arial" w:hAnsi="Arial" w:cs="Arial"/>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873CD"/>
    <w:multiLevelType w:val="hybridMultilevel"/>
    <w:tmpl w:val="09B236AC"/>
    <w:lvl w:ilvl="0" w:tplc="DE5C12F4">
      <w:start w:val="4"/>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6D448D"/>
    <w:multiLevelType w:val="hybridMultilevel"/>
    <w:tmpl w:val="2240709E"/>
    <w:lvl w:ilvl="0" w:tplc="DE5C12F4">
      <w:start w:val="4"/>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0322F2"/>
    <w:multiLevelType w:val="hybridMultilevel"/>
    <w:tmpl w:val="93F0FC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1D777D8"/>
    <w:multiLevelType w:val="hybridMultilevel"/>
    <w:tmpl w:val="0BE48C12"/>
    <w:lvl w:ilvl="0" w:tplc="D8C2045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8926421"/>
    <w:multiLevelType w:val="hybridMultilevel"/>
    <w:tmpl w:val="6D40894A"/>
    <w:lvl w:ilvl="0" w:tplc="DE5C12F4">
      <w:start w:val="4"/>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4D00C3"/>
    <w:multiLevelType w:val="hybridMultilevel"/>
    <w:tmpl w:val="AA3656F8"/>
    <w:lvl w:ilvl="0" w:tplc="33E4209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12F"/>
    <w:rsid w:val="00002DD7"/>
    <w:rsid w:val="0002171C"/>
    <w:rsid w:val="000300BD"/>
    <w:rsid w:val="0003741B"/>
    <w:rsid w:val="0004607E"/>
    <w:rsid w:val="000548D5"/>
    <w:rsid w:val="00061B68"/>
    <w:rsid w:val="00086666"/>
    <w:rsid w:val="000A09BA"/>
    <w:rsid w:val="000C12AA"/>
    <w:rsid w:val="000C2539"/>
    <w:rsid w:val="00111613"/>
    <w:rsid w:val="00113210"/>
    <w:rsid w:val="001205CC"/>
    <w:rsid w:val="001300B6"/>
    <w:rsid w:val="00137851"/>
    <w:rsid w:val="00140467"/>
    <w:rsid w:val="00160940"/>
    <w:rsid w:val="00163528"/>
    <w:rsid w:val="00164072"/>
    <w:rsid w:val="001740C6"/>
    <w:rsid w:val="00183291"/>
    <w:rsid w:val="00193843"/>
    <w:rsid w:val="001B2BEF"/>
    <w:rsid w:val="001C1979"/>
    <w:rsid w:val="001D0791"/>
    <w:rsid w:val="001E31DC"/>
    <w:rsid w:val="001E7633"/>
    <w:rsid w:val="002002F1"/>
    <w:rsid w:val="00237E95"/>
    <w:rsid w:val="00261BA3"/>
    <w:rsid w:val="002628D0"/>
    <w:rsid w:val="00276DF4"/>
    <w:rsid w:val="00280601"/>
    <w:rsid w:val="00285661"/>
    <w:rsid w:val="00297142"/>
    <w:rsid w:val="002A2812"/>
    <w:rsid w:val="002B5597"/>
    <w:rsid w:val="002C5D73"/>
    <w:rsid w:val="002E7F18"/>
    <w:rsid w:val="002F7B13"/>
    <w:rsid w:val="00304ED4"/>
    <w:rsid w:val="00317E4C"/>
    <w:rsid w:val="00323937"/>
    <w:rsid w:val="0036763D"/>
    <w:rsid w:val="0037237B"/>
    <w:rsid w:val="00392C0D"/>
    <w:rsid w:val="0039495E"/>
    <w:rsid w:val="003D73B2"/>
    <w:rsid w:val="003F1DFF"/>
    <w:rsid w:val="003F2DB9"/>
    <w:rsid w:val="003F4545"/>
    <w:rsid w:val="004055CE"/>
    <w:rsid w:val="00434BA9"/>
    <w:rsid w:val="0044029D"/>
    <w:rsid w:val="004A18D8"/>
    <w:rsid w:val="004C3CAA"/>
    <w:rsid w:val="004D1A15"/>
    <w:rsid w:val="004D2E88"/>
    <w:rsid w:val="004E0EED"/>
    <w:rsid w:val="004E2CC5"/>
    <w:rsid w:val="004E36C9"/>
    <w:rsid w:val="004F27B7"/>
    <w:rsid w:val="004F3692"/>
    <w:rsid w:val="004F55B8"/>
    <w:rsid w:val="004F793B"/>
    <w:rsid w:val="005259B4"/>
    <w:rsid w:val="0053100E"/>
    <w:rsid w:val="00533E31"/>
    <w:rsid w:val="00547916"/>
    <w:rsid w:val="005622F1"/>
    <w:rsid w:val="00566515"/>
    <w:rsid w:val="00570E3B"/>
    <w:rsid w:val="00593FEE"/>
    <w:rsid w:val="005A053F"/>
    <w:rsid w:val="00635432"/>
    <w:rsid w:val="00641331"/>
    <w:rsid w:val="00660E7E"/>
    <w:rsid w:val="006619BC"/>
    <w:rsid w:val="00672C7C"/>
    <w:rsid w:val="0067404E"/>
    <w:rsid w:val="006810B8"/>
    <w:rsid w:val="006838DB"/>
    <w:rsid w:val="0068671A"/>
    <w:rsid w:val="006A2427"/>
    <w:rsid w:val="006A7110"/>
    <w:rsid w:val="006B5AE6"/>
    <w:rsid w:val="006C0787"/>
    <w:rsid w:val="006E0EA3"/>
    <w:rsid w:val="006F1AA5"/>
    <w:rsid w:val="006F1FBE"/>
    <w:rsid w:val="006F728E"/>
    <w:rsid w:val="00713B94"/>
    <w:rsid w:val="00720DB2"/>
    <w:rsid w:val="00721A04"/>
    <w:rsid w:val="00731C68"/>
    <w:rsid w:val="00751B73"/>
    <w:rsid w:val="0075667B"/>
    <w:rsid w:val="00761BFB"/>
    <w:rsid w:val="00770DFC"/>
    <w:rsid w:val="007822E9"/>
    <w:rsid w:val="00782503"/>
    <w:rsid w:val="00786BBE"/>
    <w:rsid w:val="00792FD9"/>
    <w:rsid w:val="007968B3"/>
    <w:rsid w:val="007B1768"/>
    <w:rsid w:val="007C09AD"/>
    <w:rsid w:val="007D497B"/>
    <w:rsid w:val="007E72C3"/>
    <w:rsid w:val="007F3C84"/>
    <w:rsid w:val="0080022C"/>
    <w:rsid w:val="00822E5E"/>
    <w:rsid w:val="00827DEB"/>
    <w:rsid w:val="00835482"/>
    <w:rsid w:val="0084712F"/>
    <w:rsid w:val="0085235D"/>
    <w:rsid w:val="00862C10"/>
    <w:rsid w:val="00870B92"/>
    <w:rsid w:val="00883663"/>
    <w:rsid w:val="008843C2"/>
    <w:rsid w:val="008845C2"/>
    <w:rsid w:val="00885070"/>
    <w:rsid w:val="00893C64"/>
    <w:rsid w:val="00894F65"/>
    <w:rsid w:val="008A543E"/>
    <w:rsid w:val="008B73AA"/>
    <w:rsid w:val="008C01D1"/>
    <w:rsid w:val="008C4E90"/>
    <w:rsid w:val="008D33D0"/>
    <w:rsid w:val="008D4B54"/>
    <w:rsid w:val="008F1405"/>
    <w:rsid w:val="008F2707"/>
    <w:rsid w:val="00901482"/>
    <w:rsid w:val="00910482"/>
    <w:rsid w:val="009133D6"/>
    <w:rsid w:val="00915DE7"/>
    <w:rsid w:val="00921143"/>
    <w:rsid w:val="0093022D"/>
    <w:rsid w:val="00933C8E"/>
    <w:rsid w:val="009449B9"/>
    <w:rsid w:val="009551B0"/>
    <w:rsid w:val="00960513"/>
    <w:rsid w:val="00995CD6"/>
    <w:rsid w:val="009B2BC6"/>
    <w:rsid w:val="009B314B"/>
    <w:rsid w:val="009D1AC2"/>
    <w:rsid w:val="009D7879"/>
    <w:rsid w:val="009F2C17"/>
    <w:rsid w:val="00A1518C"/>
    <w:rsid w:val="00A375A4"/>
    <w:rsid w:val="00A46BCF"/>
    <w:rsid w:val="00A70FF3"/>
    <w:rsid w:val="00AA7D3E"/>
    <w:rsid w:val="00AB6F6F"/>
    <w:rsid w:val="00AC75ED"/>
    <w:rsid w:val="00AD2857"/>
    <w:rsid w:val="00AE4942"/>
    <w:rsid w:val="00B17BD3"/>
    <w:rsid w:val="00B35B57"/>
    <w:rsid w:val="00B55D8B"/>
    <w:rsid w:val="00B663F4"/>
    <w:rsid w:val="00B7265A"/>
    <w:rsid w:val="00B75276"/>
    <w:rsid w:val="00B95068"/>
    <w:rsid w:val="00B9766E"/>
    <w:rsid w:val="00BB76FC"/>
    <w:rsid w:val="00BC45D5"/>
    <w:rsid w:val="00BD0BB2"/>
    <w:rsid w:val="00BD6646"/>
    <w:rsid w:val="00BE23E1"/>
    <w:rsid w:val="00BF367C"/>
    <w:rsid w:val="00C36614"/>
    <w:rsid w:val="00C45BA9"/>
    <w:rsid w:val="00C536B9"/>
    <w:rsid w:val="00C6347A"/>
    <w:rsid w:val="00CA453E"/>
    <w:rsid w:val="00CB7D61"/>
    <w:rsid w:val="00CE56CB"/>
    <w:rsid w:val="00CF712C"/>
    <w:rsid w:val="00D06723"/>
    <w:rsid w:val="00D07AAA"/>
    <w:rsid w:val="00D1007D"/>
    <w:rsid w:val="00D20996"/>
    <w:rsid w:val="00D2406E"/>
    <w:rsid w:val="00D3592A"/>
    <w:rsid w:val="00D514F9"/>
    <w:rsid w:val="00DA00BB"/>
    <w:rsid w:val="00DB322D"/>
    <w:rsid w:val="00DC5E4D"/>
    <w:rsid w:val="00DF4614"/>
    <w:rsid w:val="00DF4D9C"/>
    <w:rsid w:val="00E0176B"/>
    <w:rsid w:val="00E259D7"/>
    <w:rsid w:val="00E30759"/>
    <w:rsid w:val="00EB1D45"/>
    <w:rsid w:val="00EB3C86"/>
    <w:rsid w:val="00EE1948"/>
    <w:rsid w:val="00EE22E0"/>
    <w:rsid w:val="00EF370E"/>
    <w:rsid w:val="00F0050A"/>
    <w:rsid w:val="00F12116"/>
    <w:rsid w:val="00F351E1"/>
    <w:rsid w:val="00F36EC7"/>
    <w:rsid w:val="00F85029"/>
    <w:rsid w:val="00FA5B02"/>
    <w:rsid w:val="00FC3BF3"/>
    <w:rsid w:val="00FC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304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259D7"/>
    <w:pPr>
      <w:spacing w:after="200" w:line="276" w:lineRule="auto"/>
    </w:pPr>
    <w:rPr>
      <w:rFonts w:ascii="Times New Roman" w:eastAsia="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uiPriority w:val="99"/>
    <w:semiHidden/>
    <w:unhideWhenUsed/>
    <w:rsid w:val="0080022C"/>
    <w:pPr>
      <w:framePr w:w="7920" w:h="1980" w:hRule="exact" w:hSpace="141" w:wrap="auto" w:hAnchor="page" w:xAlign="center" w:yAlign="bottom"/>
      <w:spacing w:after="0" w:line="240" w:lineRule="auto"/>
      <w:ind w:left="2880"/>
    </w:pPr>
    <w:rPr>
      <w:rFonts w:ascii="Cambria" w:hAnsi="Cambria"/>
      <w:szCs w:val="24"/>
    </w:rPr>
  </w:style>
  <w:style w:type="paragraph" w:styleId="Zhlav">
    <w:name w:val="header"/>
    <w:basedOn w:val="Normln"/>
    <w:link w:val="ZhlavChar"/>
    <w:uiPriority w:val="99"/>
    <w:unhideWhenUsed/>
    <w:rsid w:val="0084712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4712F"/>
  </w:style>
  <w:style w:type="paragraph" w:styleId="Zpat">
    <w:name w:val="footer"/>
    <w:basedOn w:val="Normln"/>
    <w:link w:val="ZpatChar"/>
    <w:uiPriority w:val="99"/>
    <w:unhideWhenUsed/>
    <w:rsid w:val="0084712F"/>
    <w:pPr>
      <w:tabs>
        <w:tab w:val="center" w:pos="4536"/>
        <w:tab w:val="right" w:pos="9072"/>
      </w:tabs>
      <w:spacing w:after="0" w:line="240" w:lineRule="auto"/>
    </w:pPr>
  </w:style>
  <w:style w:type="character" w:customStyle="1" w:styleId="ZpatChar">
    <w:name w:val="Zápatí Char"/>
    <w:basedOn w:val="Standardnpsmoodstavce"/>
    <w:link w:val="Zpat"/>
    <w:uiPriority w:val="99"/>
    <w:rsid w:val="0084712F"/>
  </w:style>
  <w:style w:type="paragraph" w:styleId="Textbubliny">
    <w:name w:val="Balloon Text"/>
    <w:basedOn w:val="Normln"/>
    <w:link w:val="TextbublinyChar"/>
    <w:uiPriority w:val="99"/>
    <w:semiHidden/>
    <w:unhideWhenUsed/>
    <w:rsid w:val="008471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712F"/>
    <w:rPr>
      <w:rFonts w:ascii="Tahoma" w:hAnsi="Tahoma" w:cs="Tahoma"/>
      <w:sz w:val="16"/>
      <w:szCs w:val="16"/>
    </w:rPr>
  </w:style>
  <w:style w:type="paragraph" w:styleId="Rozloendokumentu">
    <w:name w:val="Document Map"/>
    <w:basedOn w:val="Normln"/>
    <w:link w:val="RozloendokumentuChar"/>
    <w:uiPriority w:val="99"/>
    <w:semiHidden/>
    <w:unhideWhenUsed/>
    <w:rsid w:val="008A543E"/>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A543E"/>
    <w:rPr>
      <w:rFonts w:ascii="Tahoma" w:eastAsia="Times New Roman" w:hAnsi="Tahoma" w:cs="Tahoma"/>
      <w:sz w:val="16"/>
      <w:szCs w:val="16"/>
    </w:rPr>
  </w:style>
  <w:style w:type="character" w:styleId="Hypertextovodkaz">
    <w:name w:val="Hyperlink"/>
    <w:basedOn w:val="Standardnpsmoodstavce"/>
    <w:uiPriority w:val="99"/>
    <w:unhideWhenUsed/>
    <w:rsid w:val="009B2BC6"/>
    <w:rPr>
      <w:color w:val="0000FF"/>
      <w:u w:val="single"/>
    </w:rPr>
  </w:style>
  <w:style w:type="character" w:styleId="Siln">
    <w:name w:val="Strong"/>
    <w:basedOn w:val="Standardnpsmoodstavce"/>
    <w:uiPriority w:val="22"/>
    <w:qFormat/>
    <w:rsid w:val="006E0EA3"/>
    <w:rPr>
      <w:b/>
      <w:bCs/>
    </w:rPr>
  </w:style>
  <w:style w:type="character" w:styleId="Zdraznn">
    <w:name w:val="Emphasis"/>
    <w:basedOn w:val="Standardnpsmoodstavce"/>
    <w:uiPriority w:val="20"/>
    <w:qFormat/>
    <w:rsid w:val="006E0EA3"/>
    <w:rPr>
      <w:i/>
      <w:iCs/>
    </w:rPr>
  </w:style>
  <w:style w:type="character" w:styleId="Zstupntext">
    <w:name w:val="Placeholder Text"/>
    <w:basedOn w:val="Standardnpsmoodstavce"/>
    <w:uiPriority w:val="99"/>
    <w:semiHidden/>
    <w:rsid w:val="002628D0"/>
    <w:rPr>
      <w:color w:val="808080"/>
    </w:rPr>
  </w:style>
  <w:style w:type="table" w:styleId="Mkatabulky">
    <w:name w:val="Table Grid"/>
    <w:basedOn w:val="Normlntabulka"/>
    <w:uiPriority w:val="59"/>
    <w:rsid w:val="00262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628D0"/>
    <w:pPr>
      <w:ind w:left="720"/>
      <w:contextualSpacing/>
    </w:pPr>
  </w:style>
  <w:style w:type="table" w:customStyle="1" w:styleId="Mkatabulky1">
    <w:name w:val="Mřížka tabulky1"/>
    <w:basedOn w:val="Normlntabulka"/>
    <w:next w:val="Mkatabulky"/>
    <w:uiPriority w:val="39"/>
    <w:rsid w:val="0068671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CE040-AD28-4C25-83A9-38AED410D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3439</Words>
  <Characters>20293</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2019-11-28T14:26:00Z</dcterms:created>
  <dcterms:modified xsi:type="dcterms:W3CDTF">2020-01-23T10:24:00Z</dcterms:modified>
</cp:coreProperties>
</file>