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380A5F" w14:textId="0F525010" w:rsidR="00274821" w:rsidRPr="008E5504" w:rsidRDefault="006E05C2" w:rsidP="00274821">
      <w:pPr>
        <w:spacing w:after="600"/>
        <w:jc w:val="right"/>
        <w:rPr>
          <w:rFonts w:ascii="Arial" w:hAnsi="Arial" w:cs="Arial"/>
          <w:sz w:val="22"/>
          <w:szCs w:val="22"/>
        </w:rPr>
      </w:pPr>
      <w:bookmarkStart w:id="0" w:name="_GoBack"/>
      <w:bookmarkEnd w:id="0"/>
      <w:r w:rsidRPr="006E05C2">
        <w:rPr>
          <w:b/>
          <w:noProof/>
          <w:sz w:val="48"/>
          <w:szCs w:val="48"/>
        </w:rPr>
        <w:drawing>
          <wp:anchor distT="0" distB="0" distL="114300" distR="114300" simplePos="0" relativeHeight="251659264" behindDoc="0" locked="0" layoutInCell="1" allowOverlap="1" wp14:anchorId="1D67511E" wp14:editId="7F408C76">
            <wp:simplePos x="0" y="0"/>
            <wp:positionH relativeFrom="column">
              <wp:posOffset>-285750</wp:posOffset>
            </wp:positionH>
            <wp:positionV relativeFrom="paragraph">
              <wp:posOffset>-344170</wp:posOffset>
            </wp:positionV>
            <wp:extent cx="2057400" cy="115252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7400"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00274821">
        <w:rPr>
          <w:rFonts w:ascii="Arial" w:hAnsi="Arial" w:cs="Arial"/>
          <w:bCs/>
          <w:sz w:val="22"/>
          <w:szCs w:val="22"/>
        </w:rPr>
        <w:t>II.</w:t>
      </w:r>
    </w:p>
    <w:p w14:paraId="34F2A6BE" w14:textId="77050437" w:rsidR="006E05C2" w:rsidRDefault="00274821" w:rsidP="006E05C2">
      <w:pPr>
        <w:pStyle w:val="Nzev"/>
        <w:spacing w:before="4440" w:after="480"/>
        <w:jc w:val="center"/>
        <w:rPr>
          <w:rFonts w:asciiTheme="minorHAnsi" w:hAnsiTheme="minorHAnsi"/>
          <w:b/>
          <w:sz w:val="48"/>
          <w:szCs w:val="48"/>
        </w:rPr>
      </w:pPr>
      <w:r w:rsidRPr="006E05C2">
        <w:rPr>
          <w:rFonts w:asciiTheme="minorHAnsi" w:hAnsiTheme="minorHAnsi"/>
          <w:b/>
          <w:sz w:val="48"/>
          <w:szCs w:val="48"/>
        </w:rPr>
        <w:t xml:space="preserve">Zpráva o plnění nástrojů Státní energetické koncepce ČR do roku </w:t>
      </w:r>
      <w:r w:rsidR="00833AA0">
        <w:rPr>
          <w:rFonts w:asciiTheme="minorHAnsi" w:hAnsiTheme="minorHAnsi"/>
          <w:b/>
          <w:sz w:val="48"/>
          <w:szCs w:val="48"/>
        </w:rPr>
        <w:t>201</w:t>
      </w:r>
      <w:r w:rsidR="00953932">
        <w:rPr>
          <w:rFonts w:asciiTheme="minorHAnsi" w:hAnsiTheme="minorHAnsi"/>
          <w:b/>
          <w:sz w:val="48"/>
          <w:szCs w:val="48"/>
        </w:rPr>
        <w:t>8</w:t>
      </w:r>
    </w:p>
    <w:p w14:paraId="000664E8" w14:textId="5CE295E9" w:rsidR="006E05C2" w:rsidRDefault="006E05C2">
      <w:pPr>
        <w:rPr>
          <w:rFonts w:asciiTheme="majorHAnsi" w:eastAsiaTheme="majorEastAsia" w:hAnsiTheme="majorHAnsi" w:cstheme="majorBidi"/>
          <w:b/>
          <w:spacing w:val="-10"/>
          <w:kern w:val="28"/>
          <w:sz w:val="48"/>
          <w:szCs w:val="48"/>
        </w:rPr>
      </w:pPr>
      <w:r w:rsidRPr="006E05C2">
        <w:rPr>
          <w:b/>
          <w:noProof/>
          <w:sz w:val="48"/>
          <w:szCs w:val="48"/>
        </w:rPr>
        <w:drawing>
          <wp:anchor distT="0" distB="0" distL="114300" distR="114300" simplePos="0" relativeHeight="251657216" behindDoc="0" locked="0" layoutInCell="1" allowOverlap="1" wp14:anchorId="32F85F70" wp14:editId="483917A4">
            <wp:simplePos x="0" y="0"/>
            <wp:positionH relativeFrom="column">
              <wp:posOffset>1581150</wp:posOffset>
            </wp:positionH>
            <wp:positionV relativeFrom="paragraph">
              <wp:posOffset>1454785</wp:posOffset>
            </wp:positionV>
            <wp:extent cx="5086985" cy="4296410"/>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86985" cy="429641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48"/>
          <w:szCs w:val="48"/>
        </w:rPr>
        <w:br w:type="page"/>
      </w:r>
    </w:p>
    <w:sdt>
      <w:sdtPr>
        <w:rPr>
          <w:rFonts w:ascii="Times New Roman" w:eastAsia="Times New Roman" w:hAnsi="Times New Roman" w:cs="Times New Roman"/>
          <w:color w:val="auto"/>
          <w:sz w:val="24"/>
          <w:szCs w:val="24"/>
        </w:rPr>
        <w:id w:val="-1748184359"/>
        <w:docPartObj>
          <w:docPartGallery w:val="Table of Contents"/>
          <w:docPartUnique/>
        </w:docPartObj>
      </w:sdtPr>
      <w:sdtEndPr>
        <w:rPr>
          <w:b/>
          <w:bCs/>
        </w:rPr>
      </w:sdtEndPr>
      <w:sdtContent>
        <w:p w14:paraId="2210C34B" w14:textId="03C8C00B" w:rsidR="006E05C2" w:rsidRPr="006E05C2" w:rsidRDefault="006E05C2" w:rsidP="006E05C2">
          <w:pPr>
            <w:pStyle w:val="Nadpisobsahu"/>
            <w:spacing w:after="240"/>
            <w:rPr>
              <w:b/>
              <w:color w:val="auto"/>
            </w:rPr>
          </w:pPr>
          <w:r w:rsidRPr="006E05C2">
            <w:rPr>
              <w:b/>
              <w:color w:val="auto"/>
            </w:rPr>
            <w:t>Obsah</w:t>
          </w:r>
        </w:p>
        <w:p w14:paraId="2380E4B3" w14:textId="77777777" w:rsidR="009324DF" w:rsidRDefault="006E05C2">
          <w:pPr>
            <w:pStyle w:val="Obsah1"/>
            <w:tabs>
              <w:tab w:val="right" w:leader="dot" w:pos="9062"/>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98509189" w:history="1">
            <w:r w:rsidR="009324DF" w:rsidRPr="00576850">
              <w:rPr>
                <w:rStyle w:val="Hypertextovodkaz"/>
                <w:noProof/>
              </w:rPr>
              <w:t>Manažerské shrnutí</w:t>
            </w:r>
            <w:r w:rsidR="009324DF">
              <w:rPr>
                <w:noProof/>
                <w:webHidden/>
              </w:rPr>
              <w:tab/>
            </w:r>
            <w:r w:rsidR="009324DF">
              <w:rPr>
                <w:noProof/>
                <w:webHidden/>
              </w:rPr>
              <w:fldChar w:fldCharType="begin"/>
            </w:r>
            <w:r w:rsidR="009324DF">
              <w:rPr>
                <w:noProof/>
                <w:webHidden/>
              </w:rPr>
              <w:instrText xml:space="preserve"> PAGEREF _Toc498509189 \h </w:instrText>
            </w:r>
            <w:r w:rsidR="009324DF">
              <w:rPr>
                <w:noProof/>
                <w:webHidden/>
              </w:rPr>
            </w:r>
            <w:r w:rsidR="009324DF">
              <w:rPr>
                <w:noProof/>
                <w:webHidden/>
              </w:rPr>
              <w:fldChar w:fldCharType="separate"/>
            </w:r>
            <w:r w:rsidR="00476F89">
              <w:rPr>
                <w:noProof/>
                <w:webHidden/>
              </w:rPr>
              <w:t>1</w:t>
            </w:r>
            <w:r w:rsidR="009324DF">
              <w:rPr>
                <w:noProof/>
                <w:webHidden/>
              </w:rPr>
              <w:fldChar w:fldCharType="end"/>
            </w:r>
          </w:hyperlink>
        </w:p>
        <w:p w14:paraId="22D25A48" w14:textId="77777777" w:rsidR="009324DF" w:rsidRDefault="0045612D">
          <w:pPr>
            <w:pStyle w:val="Obsah1"/>
            <w:tabs>
              <w:tab w:val="left" w:pos="440"/>
              <w:tab w:val="right" w:leader="dot" w:pos="9062"/>
            </w:tabs>
            <w:rPr>
              <w:rFonts w:asciiTheme="minorHAnsi" w:eastAsiaTheme="minorEastAsia" w:hAnsiTheme="minorHAnsi" w:cstheme="minorBidi"/>
              <w:noProof/>
              <w:sz w:val="22"/>
              <w:szCs w:val="22"/>
            </w:rPr>
          </w:pPr>
          <w:hyperlink w:anchor="_Toc498509190" w:history="1">
            <w:r w:rsidR="009324DF" w:rsidRPr="00576850">
              <w:rPr>
                <w:rStyle w:val="Hypertextovodkaz"/>
                <w:noProof/>
              </w:rPr>
              <w:t>1.</w:t>
            </w:r>
            <w:r w:rsidR="009324DF">
              <w:rPr>
                <w:rFonts w:asciiTheme="minorHAnsi" w:eastAsiaTheme="minorEastAsia" w:hAnsiTheme="minorHAnsi" w:cstheme="minorBidi"/>
                <w:noProof/>
                <w:sz w:val="22"/>
                <w:szCs w:val="22"/>
              </w:rPr>
              <w:tab/>
            </w:r>
            <w:r w:rsidR="009324DF" w:rsidRPr="00576850">
              <w:rPr>
                <w:rStyle w:val="Hypertextovodkaz"/>
                <w:noProof/>
              </w:rPr>
              <w:t>Důvody předložení materiálu</w:t>
            </w:r>
            <w:r w:rsidR="009324DF">
              <w:rPr>
                <w:noProof/>
                <w:webHidden/>
              </w:rPr>
              <w:tab/>
            </w:r>
            <w:r w:rsidR="009324DF">
              <w:rPr>
                <w:noProof/>
                <w:webHidden/>
              </w:rPr>
              <w:fldChar w:fldCharType="begin"/>
            </w:r>
            <w:r w:rsidR="009324DF">
              <w:rPr>
                <w:noProof/>
                <w:webHidden/>
              </w:rPr>
              <w:instrText xml:space="preserve"> PAGEREF _Toc498509190 \h </w:instrText>
            </w:r>
            <w:r w:rsidR="009324DF">
              <w:rPr>
                <w:noProof/>
                <w:webHidden/>
              </w:rPr>
            </w:r>
            <w:r w:rsidR="009324DF">
              <w:rPr>
                <w:noProof/>
                <w:webHidden/>
              </w:rPr>
              <w:fldChar w:fldCharType="separate"/>
            </w:r>
            <w:r w:rsidR="00476F89">
              <w:rPr>
                <w:noProof/>
                <w:webHidden/>
              </w:rPr>
              <w:t>3</w:t>
            </w:r>
            <w:r w:rsidR="009324DF">
              <w:rPr>
                <w:noProof/>
                <w:webHidden/>
              </w:rPr>
              <w:fldChar w:fldCharType="end"/>
            </w:r>
          </w:hyperlink>
        </w:p>
        <w:p w14:paraId="7ADE38EB" w14:textId="77777777" w:rsidR="009324DF" w:rsidRDefault="0045612D">
          <w:pPr>
            <w:pStyle w:val="Obsah1"/>
            <w:tabs>
              <w:tab w:val="left" w:pos="440"/>
              <w:tab w:val="right" w:leader="dot" w:pos="9062"/>
            </w:tabs>
            <w:rPr>
              <w:rFonts w:asciiTheme="minorHAnsi" w:eastAsiaTheme="minorEastAsia" w:hAnsiTheme="minorHAnsi" w:cstheme="minorBidi"/>
              <w:noProof/>
              <w:sz w:val="22"/>
              <w:szCs w:val="22"/>
            </w:rPr>
          </w:pPr>
          <w:hyperlink w:anchor="_Toc498509191" w:history="1">
            <w:r w:rsidR="009324DF" w:rsidRPr="00576850">
              <w:rPr>
                <w:rStyle w:val="Hypertextovodkaz"/>
                <w:noProof/>
              </w:rPr>
              <w:t>2.</w:t>
            </w:r>
            <w:r w:rsidR="009324DF">
              <w:rPr>
                <w:rFonts w:asciiTheme="minorHAnsi" w:eastAsiaTheme="minorEastAsia" w:hAnsiTheme="minorHAnsi" w:cstheme="minorBidi"/>
                <w:noProof/>
                <w:sz w:val="22"/>
                <w:szCs w:val="22"/>
              </w:rPr>
              <w:tab/>
            </w:r>
            <w:r w:rsidR="009324DF" w:rsidRPr="00576850">
              <w:rPr>
                <w:rStyle w:val="Hypertextovodkaz"/>
                <w:noProof/>
              </w:rPr>
              <w:t>Cíle Státní energetické koncepce ČR a soubor nástrojů pro jejich naplnění</w:t>
            </w:r>
            <w:r w:rsidR="009324DF">
              <w:rPr>
                <w:noProof/>
                <w:webHidden/>
              </w:rPr>
              <w:tab/>
            </w:r>
            <w:r w:rsidR="009324DF">
              <w:rPr>
                <w:noProof/>
                <w:webHidden/>
              </w:rPr>
              <w:fldChar w:fldCharType="begin"/>
            </w:r>
            <w:r w:rsidR="009324DF">
              <w:rPr>
                <w:noProof/>
                <w:webHidden/>
              </w:rPr>
              <w:instrText xml:space="preserve"> PAGEREF _Toc498509191 \h </w:instrText>
            </w:r>
            <w:r w:rsidR="009324DF">
              <w:rPr>
                <w:noProof/>
                <w:webHidden/>
              </w:rPr>
            </w:r>
            <w:r w:rsidR="009324DF">
              <w:rPr>
                <w:noProof/>
                <w:webHidden/>
              </w:rPr>
              <w:fldChar w:fldCharType="separate"/>
            </w:r>
            <w:r w:rsidR="00476F89">
              <w:rPr>
                <w:noProof/>
                <w:webHidden/>
              </w:rPr>
              <w:t>3</w:t>
            </w:r>
            <w:r w:rsidR="009324DF">
              <w:rPr>
                <w:noProof/>
                <w:webHidden/>
              </w:rPr>
              <w:fldChar w:fldCharType="end"/>
            </w:r>
          </w:hyperlink>
        </w:p>
        <w:p w14:paraId="3A3A9B7D" w14:textId="77777777" w:rsidR="009324DF" w:rsidRDefault="0045612D">
          <w:pPr>
            <w:pStyle w:val="Obsah1"/>
            <w:tabs>
              <w:tab w:val="left" w:pos="440"/>
              <w:tab w:val="right" w:leader="dot" w:pos="9062"/>
            </w:tabs>
            <w:rPr>
              <w:rFonts w:asciiTheme="minorHAnsi" w:eastAsiaTheme="minorEastAsia" w:hAnsiTheme="minorHAnsi" w:cstheme="minorBidi"/>
              <w:noProof/>
              <w:sz w:val="22"/>
              <w:szCs w:val="22"/>
            </w:rPr>
          </w:pPr>
          <w:hyperlink w:anchor="_Toc498509192" w:history="1">
            <w:r w:rsidR="009324DF" w:rsidRPr="00576850">
              <w:rPr>
                <w:rStyle w:val="Hypertextovodkaz"/>
                <w:noProof/>
              </w:rPr>
              <w:t>3.</w:t>
            </w:r>
            <w:r w:rsidR="009324DF">
              <w:rPr>
                <w:rFonts w:asciiTheme="minorHAnsi" w:eastAsiaTheme="minorEastAsia" w:hAnsiTheme="minorHAnsi" w:cstheme="minorBidi"/>
                <w:noProof/>
                <w:sz w:val="22"/>
                <w:szCs w:val="22"/>
              </w:rPr>
              <w:tab/>
            </w:r>
            <w:r w:rsidR="009324DF" w:rsidRPr="00576850">
              <w:rPr>
                <w:rStyle w:val="Hypertextovodkaz"/>
                <w:noProof/>
              </w:rPr>
              <w:t>Obecný postup plnění vymezených nástrojů</w:t>
            </w:r>
            <w:r w:rsidR="009324DF">
              <w:rPr>
                <w:noProof/>
                <w:webHidden/>
              </w:rPr>
              <w:tab/>
            </w:r>
            <w:r w:rsidR="009324DF">
              <w:rPr>
                <w:noProof/>
                <w:webHidden/>
              </w:rPr>
              <w:fldChar w:fldCharType="begin"/>
            </w:r>
            <w:r w:rsidR="009324DF">
              <w:rPr>
                <w:noProof/>
                <w:webHidden/>
              </w:rPr>
              <w:instrText xml:space="preserve"> PAGEREF _Toc498509192 \h </w:instrText>
            </w:r>
            <w:r w:rsidR="009324DF">
              <w:rPr>
                <w:noProof/>
                <w:webHidden/>
              </w:rPr>
            </w:r>
            <w:r w:rsidR="009324DF">
              <w:rPr>
                <w:noProof/>
                <w:webHidden/>
              </w:rPr>
              <w:fldChar w:fldCharType="separate"/>
            </w:r>
            <w:r w:rsidR="00476F89">
              <w:rPr>
                <w:noProof/>
                <w:webHidden/>
              </w:rPr>
              <w:t>3</w:t>
            </w:r>
            <w:r w:rsidR="009324DF">
              <w:rPr>
                <w:noProof/>
                <w:webHidden/>
              </w:rPr>
              <w:fldChar w:fldCharType="end"/>
            </w:r>
          </w:hyperlink>
        </w:p>
        <w:p w14:paraId="756BD7A9" w14:textId="77777777" w:rsidR="009324DF" w:rsidRDefault="0045612D">
          <w:pPr>
            <w:pStyle w:val="Obsah1"/>
            <w:tabs>
              <w:tab w:val="left" w:pos="440"/>
              <w:tab w:val="right" w:leader="dot" w:pos="9062"/>
            </w:tabs>
            <w:rPr>
              <w:rFonts w:asciiTheme="minorHAnsi" w:eastAsiaTheme="minorEastAsia" w:hAnsiTheme="minorHAnsi" w:cstheme="minorBidi"/>
              <w:noProof/>
              <w:sz w:val="22"/>
              <w:szCs w:val="22"/>
            </w:rPr>
          </w:pPr>
          <w:hyperlink w:anchor="_Toc498509193" w:history="1">
            <w:r w:rsidR="009324DF" w:rsidRPr="00576850">
              <w:rPr>
                <w:rStyle w:val="Hypertextovodkaz"/>
                <w:noProof/>
              </w:rPr>
              <w:t>4.</w:t>
            </w:r>
            <w:r w:rsidR="009324DF">
              <w:rPr>
                <w:rFonts w:asciiTheme="minorHAnsi" w:eastAsiaTheme="minorEastAsia" w:hAnsiTheme="minorHAnsi" w:cstheme="minorBidi"/>
                <w:noProof/>
                <w:sz w:val="22"/>
                <w:szCs w:val="22"/>
              </w:rPr>
              <w:tab/>
            </w:r>
            <w:r w:rsidR="009324DF" w:rsidRPr="00576850">
              <w:rPr>
                <w:rStyle w:val="Hypertextovodkaz"/>
                <w:noProof/>
              </w:rPr>
              <w:t>Konkrétní postup plnění nástrojů v rámci jednotlivých oblastí</w:t>
            </w:r>
            <w:r w:rsidR="009324DF">
              <w:rPr>
                <w:noProof/>
                <w:webHidden/>
              </w:rPr>
              <w:tab/>
            </w:r>
            <w:r w:rsidR="009324DF">
              <w:rPr>
                <w:noProof/>
                <w:webHidden/>
              </w:rPr>
              <w:fldChar w:fldCharType="begin"/>
            </w:r>
            <w:r w:rsidR="009324DF">
              <w:rPr>
                <w:noProof/>
                <w:webHidden/>
              </w:rPr>
              <w:instrText xml:space="preserve"> PAGEREF _Toc498509193 \h </w:instrText>
            </w:r>
            <w:r w:rsidR="009324DF">
              <w:rPr>
                <w:noProof/>
                <w:webHidden/>
              </w:rPr>
            </w:r>
            <w:r w:rsidR="009324DF">
              <w:rPr>
                <w:noProof/>
                <w:webHidden/>
              </w:rPr>
              <w:fldChar w:fldCharType="separate"/>
            </w:r>
            <w:r w:rsidR="00476F89">
              <w:rPr>
                <w:noProof/>
                <w:webHidden/>
              </w:rPr>
              <w:t>4</w:t>
            </w:r>
            <w:r w:rsidR="009324DF">
              <w:rPr>
                <w:noProof/>
                <w:webHidden/>
              </w:rPr>
              <w:fldChar w:fldCharType="end"/>
            </w:r>
          </w:hyperlink>
        </w:p>
        <w:p w14:paraId="453D52A6" w14:textId="77777777" w:rsidR="009324DF" w:rsidRDefault="0045612D" w:rsidP="009324DF">
          <w:pPr>
            <w:pStyle w:val="Obsah2"/>
            <w:rPr>
              <w:rFonts w:asciiTheme="minorHAnsi" w:eastAsiaTheme="minorEastAsia" w:hAnsiTheme="minorHAnsi" w:cstheme="minorBidi"/>
              <w:noProof/>
              <w:sz w:val="22"/>
              <w:szCs w:val="22"/>
            </w:rPr>
          </w:pPr>
          <w:hyperlink w:anchor="_Toc498509198" w:history="1">
            <w:r w:rsidR="009324DF" w:rsidRPr="00576850">
              <w:rPr>
                <w:rStyle w:val="Hypertextovodkaz"/>
                <w:noProof/>
              </w:rPr>
              <w:t>4.1.</w:t>
            </w:r>
            <w:r w:rsidR="009324DF">
              <w:rPr>
                <w:rFonts w:asciiTheme="minorHAnsi" w:eastAsiaTheme="minorEastAsia" w:hAnsiTheme="minorHAnsi" w:cstheme="minorBidi"/>
                <w:noProof/>
                <w:sz w:val="22"/>
                <w:szCs w:val="22"/>
              </w:rPr>
              <w:tab/>
            </w:r>
            <w:r w:rsidR="009324DF" w:rsidRPr="00576850">
              <w:rPr>
                <w:rStyle w:val="Hypertextovodkaz"/>
                <w:noProof/>
              </w:rPr>
              <w:t>Nástroje v oblasti legislativní</w:t>
            </w:r>
            <w:r w:rsidR="009324DF">
              <w:rPr>
                <w:noProof/>
                <w:webHidden/>
              </w:rPr>
              <w:tab/>
            </w:r>
            <w:r w:rsidR="009324DF">
              <w:rPr>
                <w:noProof/>
                <w:webHidden/>
              </w:rPr>
              <w:fldChar w:fldCharType="begin"/>
            </w:r>
            <w:r w:rsidR="009324DF">
              <w:rPr>
                <w:noProof/>
                <w:webHidden/>
              </w:rPr>
              <w:instrText xml:space="preserve"> PAGEREF _Toc498509198 \h </w:instrText>
            </w:r>
            <w:r w:rsidR="009324DF">
              <w:rPr>
                <w:noProof/>
                <w:webHidden/>
              </w:rPr>
            </w:r>
            <w:r w:rsidR="009324DF">
              <w:rPr>
                <w:noProof/>
                <w:webHidden/>
              </w:rPr>
              <w:fldChar w:fldCharType="separate"/>
            </w:r>
            <w:r w:rsidR="00476F89">
              <w:rPr>
                <w:noProof/>
                <w:webHidden/>
              </w:rPr>
              <w:t>4</w:t>
            </w:r>
            <w:r w:rsidR="009324DF">
              <w:rPr>
                <w:noProof/>
                <w:webHidden/>
              </w:rPr>
              <w:fldChar w:fldCharType="end"/>
            </w:r>
          </w:hyperlink>
        </w:p>
        <w:p w14:paraId="5C9885A4" w14:textId="77777777" w:rsidR="009324DF" w:rsidRDefault="0045612D" w:rsidP="009324DF">
          <w:pPr>
            <w:pStyle w:val="Obsah2"/>
            <w:rPr>
              <w:rFonts w:asciiTheme="minorHAnsi" w:eastAsiaTheme="minorEastAsia" w:hAnsiTheme="minorHAnsi" w:cstheme="minorBidi"/>
              <w:noProof/>
              <w:sz w:val="22"/>
              <w:szCs w:val="22"/>
            </w:rPr>
          </w:pPr>
          <w:hyperlink w:anchor="_Toc498509199" w:history="1">
            <w:r w:rsidR="009324DF" w:rsidRPr="00576850">
              <w:rPr>
                <w:rStyle w:val="Hypertextovodkaz"/>
                <w:noProof/>
              </w:rPr>
              <w:t>4.2.</w:t>
            </w:r>
            <w:r w:rsidR="009324DF">
              <w:rPr>
                <w:rFonts w:asciiTheme="minorHAnsi" w:eastAsiaTheme="minorEastAsia" w:hAnsiTheme="minorHAnsi" w:cstheme="minorBidi"/>
                <w:noProof/>
                <w:sz w:val="22"/>
                <w:szCs w:val="22"/>
              </w:rPr>
              <w:tab/>
            </w:r>
            <w:r w:rsidR="009324DF" w:rsidRPr="00576850">
              <w:rPr>
                <w:rStyle w:val="Hypertextovodkaz"/>
                <w:noProof/>
              </w:rPr>
              <w:t>Nástroje v oblasti výkonu státní správy</w:t>
            </w:r>
            <w:r w:rsidR="009324DF">
              <w:rPr>
                <w:noProof/>
                <w:webHidden/>
              </w:rPr>
              <w:tab/>
            </w:r>
            <w:r w:rsidR="009324DF">
              <w:rPr>
                <w:noProof/>
                <w:webHidden/>
              </w:rPr>
              <w:fldChar w:fldCharType="begin"/>
            </w:r>
            <w:r w:rsidR="009324DF">
              <w:rPr>
                <w:noProof/>
                <w:webHidden/>
              </w:rPr>
              <w:instrText xml:space="preserve"> PAGEREF _Toc498509199 \h </w:instrText>
            </w:r>
            <w:r w:rsidR="009324DF">
              <w:rPr>
                <w:noProof/>
                <w:webHidden/>
              </w:rPr>
            </w:r>
            <w:r w:rsidR="009324DF">
              <w:rPr>
                <w:noProof/>
                <w:webHidden/>
              </w:rPr>
              <w:fldChar w:fldCharType="separate"/>
            </w:r>
            <w:r w:rsidR="00476F89">
              <w:rPr>
                <w:noProof/>
                <w:webHidden/>
              </w:rPr>
              <w:t>12</w:t>
            </w:r>
            <w:r w:rsidR="009324DF">
              <w:rPr>
                <w:noProof/>
                <w:webHidden/>
              </w:rPr>
              <w:fldChar w:fldCharType="end"/>
            </w:r>
          </w:hyperlink>
        </w:p>
        <w:p w14:paraId="624BCE86" w14:textId="77777777" w:rsidR="009324DF" w:rsidRDefault="0045612D" w:rsidP="009324DF">
          <w:pPr>
            <w:pStyle w:val="Obsah2"/>
            <w:rPr>
              <w:rFonts w:asciiTheme="minorHAnsi" w:eastAsiaTheme="minorEastAsia" w:hAnsiTheme="minorHAnsi" w:cstheme="minorBidi"/>
              <w:noProof/>
              <w:sz w:val="22"/>
              <w:szCs w:val="22"/>
            </w:rPr>
          </w:pPr>
          <w:hyperlink w:anchor="_Toc498509200" w:history="1">
            <w:r w:rsidR="009324DF" w:rsidRPr="00576850">
              <w:rPr>
                <w:rStyle w:val="Hypertextovodkaz"/>
                <w:noProof/>
              </w:rPr>
              <w:t>4.3.</w:t>
            </w:r>
            <w:r w:rsidR="009324DF">
              <w:rPr>
                <w:rFonts w:asciiTheme="minorHAnsi" w:eastAsiaTheme="minorEastAsia" w:hAnsiTheme="minorHAnsi" w:cstheme="minorBidi"/>
                <w:noProof/>
                <w:sz w:val="22"/>
                <w:szCs w:val="22"/>
              </w:rPr>
              <w:tab/>
            </w:r>
            <w:r w:rsidR="009324DF" w:rsidRPr="00576850">
              <w:rPr>
                <w:rStyle w:val="Hypertextovodkaz"/>
                <w:noProof/>
              </w:rPr>
              <w:t>Nástroje v oblasti fiskální a daňové</w:t>
            </w:r>
            <w:r w:rsidR="009324DF">
              <w:rPr>
                <w:noProof/>
                <w:webHidden/>
              </w:rPr>
              <w:tab/>
            </w:r>
            <w:r w:rsidR="009324DF">
              <w:rPr>
                <w:noProof/>
                <w:webHidden/>
              </w:rPr>
              <w:fldChar w:fldCharType="begin"/>
            </w:r>
            <w:r w:rsidR="009324DF">
              <w:rPr>
                <w:noProof/>
                <w:webHidden/>
              </w:rPr>
              <w:instrText xml:space="preserve"> PAGEREF _Toc498509200 \h </w:instrText>
            </w:r>
            <w:r w:rsidR="009324DF">
              <w:rPr>
                <w:noProof/>
                <w:webHidden/>
              </w:rPr>
            </w:r>
            <w:r w:rsidR="009324DF">
              <w:rPr>
                <w:noProof/>
                <w:webHidden/>
              </w:rPr>
              <w:fldChar w:fldCharType="separate"/>
            </w:r>
            <w:r w:rsidR="00476F89">
              <w:rPr>
                <w:noProof/>
                <w:webHidden/>
              </w:rPr>
              <w:t>34</w:t>
            </w:r>
            <w:r w:rsidR="009324DF">
              <w:rPr>
                <w:noProof/>
                <w:webHidden/>
              </w:rPr>
              <w:fldChar w:fldCharType="end"/>
            </w:r>
          </w:hyperlink>
        </w:p>
        <w:p w14:paraId="113EE4BE" w14:textId="77777777" w:rsidR="009324DF" w:rsidRDefault="0045612D" w:rsidP="009324DF">
          <w:pPr>
            <w:pStyle w:val="Obsah2"/>
            <w:rPr>
              <w:rFonts w:asciiTheme="minorHAnsi" w:eastAsiaTheme="minorEastAsia" w:hAnsiTheme="minorHAnsi" w:cstheme="minorBidi"/>
              <w:noProof/>
              <w:sz w:val="22"/>
              <w:szCs w:val="22"/>
            </w:rPr>
          </w:pPr>
          <w:hyperlink w:anchor="_Toc498509201" w:history="1">
            <w:r w:rsidR="009324DF" w:rsidRPr="00576850">
              <w:rPr>
                <w:rStyle w:val="Hypertextovodkaz"/>
                <w:noProof/>
              </w:rPr>
              <w:t>4.4.</w:t>
            </w:r>
            <w:r w:rsidR="009324DF">
              <w:rPr>
                <w:rFonts w:asciiTheme="minorHAnsi" w:eastAsiaTheme="minorEastAsia" w:hAnsiTheme="minorHAnsi" w:cstheme="minorBidi"/>
                <w:noProof/>
                <w:sz w:val="22"/>
                <w:szCs w:val="22"/>
              </w:rPr>
              <w:tab/>
            </w:r>
            <w:r w:rsidR="009324DF" w:rsidRPr="00576850">
              <w:rPr>
                <w:rStyle w:val="Hypertextovodkaz"/>
                <w:noProof/>
              </w:rPr>
              <w:t>Nástroje v oblasti zahraniční politiky</w:t>
            </w:r>
            <w:r w:rsidR="009324DF">
              <w:rPr>
                <w:noProof/>
                <w:webHidden/>
              </w:rPr>
              <w:tab/>
            </w:r>
            <w:r w:rsidR="009324DF">
              <w:rPr>
                <w:noProof/>
                <w:webHidden/>
              </w:rPr>
              <w:fldChar w:fldCharType="begin"/>
            </w:r>
            <w:r w:rsidR="009324DF">
              <w:rPr>
                <w:noProof/>
                <w:webHidden/>
              </w:rPr>
              <w:instrText xml:space="preserve"> PAGEREF _Toc498509201 \h </w:instrText>
            </w:r>
            <w:r w:rsidR="009324DF">
              <w:rPr>
                <w:noProof/>
                <w:webHidden/>
              </w:rPr>
            </w:r>
            <w:r w:rsidR="009324DF">
              <w:rPr>
                <w:noProof/>
                <w:webHidden/>
              </w:rPr>
              <w:fldChar w:fldCharType="separate"/>
            </w:r>
            <w:r w:rsidR="00476F89">
              <w:rPr>
                <w:noProof/>
                <w:webHidden/>
              </w:rPr>
              <w:t>38</w:t>
            </w:r>
            <w:r w:rsidR="009324DF">
              <w:rPr>
                <w:noProof/>
                <w:webHidden/>
              </w:rPr>
              <w:fldChar w:fldCharType="end"/>
            </w:r>
          </w:hyperlink>
        </w:p>
        <w:p w14:paraId="34D9FC61" w14:textId="77777777" w:rsidR="009324DF" w:rsidRDefault="0045612D" w:rsidP="009324DF">
          <w:pPr>
            <w:pStyle w:val="Obsah2"/>
            <w:rPr>
              <w:rFonts w:asciiTheme="minorHAnsi" w:eastAsiaTheme="minorEastAsia" w:hAnsiTheme="minorHAnsi" w:cstheme="minorBidi"/>
              <w:noProof/>
              <w:sz w:val="22"/>
              <w:szCs w:val="22"/>
            </w:rPr>
          </w:pPr>
          <w:hyperlink w:anchor="_Toc498509202" w:history="1">
            <w:r w:rsidR="009324DF" w:rsidRPr="00576850">
              <w:rPr>
                <w:rStyle w:val="Hypertextovodkaz"/>
                <w:noProof/>
              </w:rPr>
              <w:t>4.5.</w:t>
            </w:r>
            <w:r w:rsidR="009324DF">
              <w:rPr>
                <w:rFonts w:asciiTheme="minorHAnsi" w:eastAsiaTheme="minorEastAsia" w:hAnsiTheme="minorHAnsi" w:cstheme="minorBidi"/>
                <w:noProof/>
                <w:sz w:val="22"/>
                <w:szCs w:val="22"/>
              </w:rPr>
              <w:tab/>
            </w:r>
            <w:r w:rsidR="009324DF" w:rsidRPr="00576850">
              <w:rPr>
                <w:rStyle w:val="Hypertextovodkaz"/>
                <w:noProof/>
              </w:rPr>
              <w:t>Nástroje v oblasti vzdělávání a podpory vědy a výzkumu</w:t>
            </w:r>
            <w:r w:rsidR="009324DF">
              <w:rPr>
                <w:noProof/>
                <w:webHidden/>
              </w:rPr>
              <w:tab/>
            </w:r>
            <w:r w:rsidR="009324DF">
              <w:rPr>
                <w:noProof/>
                <w:webHidden/>
              </w:rPr>
              <w:fldChar w:fldCharType="begin"/>
            </w:r>
            <w:r w:rsidR="009324DF">
              <w:rPr>
                <w:noProof/>
                <w:webHidden/>
              </w:rPr>
              <w:instrText xml:space="preserve"> PAGEREF _Toc498509202 \h </w:instrText>
            </w:r>
            <w:r w:rsidR="009324DF">
              <w:rPr>
                <w:noProof/>
                <w:webHidden/>
              </w:rPr>
            </w:r>
            <w:r w:rsidR="009324DF">
              <w:rPr>
                <w:noProof/>
                <w:webHidden/>
              </w:rPr>
              <w:fldChar w:fldCharType="separate"/>
            </w:r>
            <w:r w:rsidR="00476F89">
              <w:rPr>
                <w:noProof/>
                <w:webHidden/>
              </w:rPr>
              <w:t>41</w:t>
            </w:r>
            <w:r w:rsidR="009324DF">
              <w:rPr>
                <w:noProof/>
                <w:webHidden/>
              </w:rPr>
              <w:fldChar w:fldCharType="end"/>
            </w:r>
          </w:hyperlink>
        </w:p>
        <w:p w14:paraId="29B3E749" w14:textId="77777777" w:rsidR="009324DF" w:rsidRDefault="0045612D" w:rsidP="009324DF">
          <w:pPr>
            <w:pStyle w:val="Obsah2"/>
            <w:rPr>
              <w:rFonts w:asciiTheme="minorHAnsi" w:eastAsiaTheme="minorEastAsia" w:hAnsiTheme="minorHAnsi" w:cstheme="minorBidi"/>
              <w:noProof/>
              <w:sz w:val="22"/>
              <w:szCs w:val="22"/>
            </w:rPr>
          </w:pPr>
          <w:hyperlink w:anchor="_Toc498509203" w:history="1">
            <w:r w:rsidR="009324DF" w:rsidRPr="00576850">
              <w:rPr>
                <w:rStyle w:val="Hypertextovodkaz"/>
                <w:noProof/>
              </w:rPr>
              <w:t>4.6.</w:t>
            </w:r>
            <w:r w:rsidR="009324DF">
              <w:rPr>
                <w:rFonts w:asciiTheme="minorHAnsi" w:eastAsiaTheme="minorEastAsia" w:hAnsiTheme="minorHAnsi" w:cstheme="minorBidi"/>
                <w:noProof/>
                <w:sz w:val="22"/>
                <w:szCs w:val="22"/>
              </w:rPr>
              <w:tab/>
            </w:r>
            <w:r w:rsidR="009324DF" w:rsidRPr="00576850">
              <w:rPr>
                <w:rStyle w:val="Hypertextovodkaz"/>
                <w:noProof/>
              </w:rPr>
              <w:t>Nástroje v oblasti výkonu vlastnických práv státu k energetickým společnostem s majetkovou účastí České republiky</w:t>
            </w:r>
            <w:r w:rsidR="009324DF">
              <w:rPr>
                <w:noProof/>
                <w:webHidden/>
              </w:rPr>
              <w:tab/>
            </w:r>
            <w:r w:rsidR="009324DF">
              <w:rPr>
                <w:noProof/>
                <w:webHidden/>
              </w:rPr>
              <w:fldChar w:fldCharType="begin"/>
            </w:r>
            <w:r w:rsidR="009324DF">
              <w:rPr>
                <w:noProof/>
                <w:webHidden/>
              </w:rPr>
              <w:instrText xml:space="preserve"> PAGEREF _Toc498509203 \h </w:instrText>
            </w:r>
            <w:r w:rsidR="009324DF">
              <w:rPr>
                <w:noProof/>
                <w:webHidden/>
              </w:rPr>
            </w:r>
            <w:r w:rsidR="009324DF">
              <w:rPr>
                <w:noProof/>
                <w:webHidden/>
              </w:rPr>
              <w:fldChar w:fldCharType="separate"/>
            </w:r>
            <w:r w:rsidR="00476F89">
              <w:rPr>
                <w:noProof/>
                <w:webHidden/>
              </w:rPr>
              <w:t>43</w:t>
            </w:r>
            <w:r w:rsidR="009324DF">
              <w:rPr>
                <w:noProof/>
                <w:webHidden/>
              </w:rPr>
              <w:fldChar w:fldCharType="end"/>
            </w:r>
          </w:hyperlink>
        </w:p>
        <w:p w14:paraId="75BCB162" w14:textId="77777777" w:rsidR="009324DF" w:rsidRDefault="0045612D" w:rsidP="009324DF">
          <w:pPr>
            <w:pStyle w:val="Obsah2"/>
            <w:rPr>
              <w:rFonts w:asciiTheme="minorHAnsi" w:eastAsiaTheme="minorEastAsia" w:hAnsiTheme="minorHAnsi" w:cstheme="minorBidi"/>
              <w:noProof/>
              <w:sz w:val="22"/>
              <w:szCs w:val="22"/>
            </w:rPr>
          </w:pPr>
          <w:hyperlink w:anchor="_Toc498509204" w:history="1">
            <w:r w:rsidR="009324DF" w:rsidRPr="00576850">
              <w:rPr>
                <w:rStyle w:val="Hypertextovodkaz"/>
                <w:noProof/>
              </w:rPr>
              <w:t>4.7.</w:t>
            </w:r>
            <w:r w:rsidR="009324DF">
              <w:rPr>
                <w:rFonts w:asciiTheme="minorHAnsi" w:eastAsiaTheme="minorEastAsia" w:hAnsiTheme="minorHAnsi" w:cstheme="minorBidi"/>
                <w:noProof/>
                <w:sz w:val="22"/>
                <w:szCs w:val="22"/>
              </w:rPr>
              <w:tab/>
            </w:r>
            <w:r w:rsidR="009324DF" w:rsidRPr="00576850">
              <w:rPr>
                <w:rStyle w:val="Hypertextovodkaz"/>
                <w:noProof/>
              </w:rPr>
              <w:t>Nástroje v oblasti komunikace a medializace</w:t>
            </w:r>
            <w:r w:rsidR="009324DF">
              <w:rPr>
                <w:noProof/>
                <w:webHidden/>
              </w:rPr>
              <w:tab/>
            </w:r>
            <w:r w:rsidR="009324DF">
              <w:rPr>
                <w:noProof/>
                <w:webHidden/>
              </w:rPr>
              <w:fldChar w:fldCharType="begin"/>
            </w:r>
            <w:r w:rsidR="009324DF">
              <w:rPr>
                <w:noProof/>
                <w:webHidden/>
              </w:rPr>
              <w:instrText xml:space="preserve"> PAGEREF _Toc498509204 \h </w:instrText>
            </w:r>
            <w:r w:rsidR="009324DF">
              <w:rPr>
                <w:noProof/>
                <w:webHidden/>
              </w:rPr>
            </w:r>
            <w:r w:rsidR="009324DF">
              <w:rPr>
                <w:noProof/>
                <w:webHidden/>
              </w:rPr>
              <w:fldChar w:fldCharType="separate"/>
            </w:r>
            <w:r w:rsidR="00476F89">
              <w:rPr>
                <w:noProof/>
                <w:webHidden/>
              </w:rPr>
              <w:t>44</w:t>
            </w:r>
            <w:r w:rsidR="009324DF">
              <w:rPr>
                <w:noProof/>
                <w:webHidden/>
              </w:rPr>
              <w:fldChar w:fldCharType="end"/>
            </w:r>
          </w:hyperlink>
        </w:p>
        <w:p w14:paraId="62EE02F2" w14:textId="77777777" w:rsidR="009324DF" w:rsidRDefault="0045612D">
          <w:pPr>
            <w:pStyle w:val="Obsah1"/>
            <w:tabs>
              <w:tab w:val="left" w:pos="440"/>
              <w:tab w:val="right" w:leader="dot" w:pos="9062"/>
            </w:tabs>
            <w:rPr>
              <w:rFonts w:asciiTheme="minorHAnsi" w:eastAsiaTheme="minorEastAsia" w:hAnsiTheme="minorHAnsi" w:cstheme="minorBidi"/>
              <w:noProof/>
              <w:sz w:val="22"/>
              <w:szCs w:val="22"/>
            </w:rPr>
          </w:pPr>
          <w:hyperlink w:anchor="_Toc498509205" w:history="1">
            <w:r w:rsidR="009324DF" w:rsidRPr="00576850">
              <w:rPr>
                <w:rStyle w:val="Hypertextovodkaz"/>
                <w:noProof/>
              </w:rPr>
              <w:t>5.</w:t>
            </w:r>
            <w:r w:rsidR="009324DF">
              <w:rPr>
                <w:rFonts w:asciiTheme="minorHAnsi" w:eastAsiaTheme="minorEastAsia" w:hAnsiTheme="minorHAnsi" w:cstheme="minorBidi"/>
                <w:noProof/>
                <w:sz w:val="22"/>
                <w:szCs w:val="22"/>
              </w:rPr>
              <w:tab/>
            </w:r>
            <w:r w:rsidR="009324DF" w:rsidRPr="00576850">
              <w:rPr>
                <w:rStyle w:val="Hypertextovodkaz"/>
                <w:noProof/>
              </w:rPr>
              <w:t>Závěr</w:t>
            </w:r>
            <w:r w:rsidR="009324DF">
              <w:rPr>
                <w:noProof/>
                <w:webHidden/>
              </w:rPr>
              <w:tab/>
            </w:r>
            <w:r w:rsidR="009324DF">
              <w:rPr>
                <w:noProof/>
                <w:webHidden/>
              </w:rPr>
              <w:fldChar w:fldCharType="begin"/>
            </w:r>
            <w:r w:rsidR="009324DF">
              <w:rPr>
                <w:noProof/>
                <w:webHidden/>
              </w:rPr>
              <w:instrText xml:space="preserve"> PAGEREF _Toc498509205 \h </w:instrText>
            </w:r>
            <w:r w:rsidR="009324DF">
              <w:rPr>
                <w:noProof/>
                <w:webHidden/>
              </w:rPr>
            </w:r>
            <w:r w:rsidR="009324DF">
              <w:rPr>
                <w:noProof/>
                <w:webHidden/>
              </w:rPr>
              <w:fldChar w:fldCharType="separate"/>
            </w:r>
            <w:r w:rsidR="00476F89">
              <w:rPr>
                <w:noProof/>
                <w:webHidden/>
              </w:rPr>
              <w:t>46</w:t>
            </w:r>
            <w:r w:rsidR="009324DF">
              <w:rPr>
                <w:noProof/>
                <w:webHidden/>
              </w:rPr>
              <w:fldChar w:fldCharType="end"/>
            </w:r>
          </w:hyperlink>
        </w:p>
        <w:p w14:paraId="5FF3F1FA" w14:textId="77777777" w:rsidR="009324DF" w:rsidRDefault="0045612D">
          <w:pPr>
            <w:pStyle w:val="Obsah1"/>
            <w:tabs>
              <w:tab w:val="right" w:leader="dot" w:pos="9062"/>
            </w:tabs>
            <w:rPr>
              <w:rFonts w:asciiTheme="minorHAnsi" w:eastAsiaTheme="minorEastAsia" w:hAnsiTheme="minorHAnsi" w:cstheme="minorBidi"/>
              <w:noProof/>
              <w:sz w:val="22"/>
              <w:szCs w:val="22"/>
            </w:rPr>
          </w:pPr>
          <w:hyperlink w:anchor="_Toc498509206" w:history="1">
            <w:r w:rsidR="009324DF" w:rsidRPr="00576850">
              <w:rPr>
                <w:rStyle w:val="Hypertextovodkaz"/>
                <w:noProof/>
              </w:rPr>
              <w:t>Seznam zkratek</w:t>
            </w:r>
            <w:r w:rsidR="009324DF">
              <w:rPr>
                <w:noProof/>
                <w:webHidden/>
              </w:rPr>
              <w:tab/>
            </w:r>
            <w:r w:rsidR="009324DF">
              <w:rPr>
                <w:noProof/>
                <w:webHidden/>
              </w:rPr>
              <w:fldChar w:fldCharType="begin"/>
            </w:r>
            <w:r w:rsidR="009324DF">
              <w:rPr>
                <w:noProof/>
                <w:webHidden/>
              </w:rPr>
              <w:instrText xml:space="preserve"> PAGEREF _Toc498509206 \h </w:instrText>
            </w:r>
            <w:r w:rsidR="009324DF">
              <w:rPr>
                <w:noProof/>
                <w:webHidden/>
              </w:rPr>
            </w:r>
            <w:r w:rsidR="009324DF">
              <w:rPr>
                <w:noProof/>
                <w:webHidden/>
              </w:rPr>
              <w:fldChar w:fldCharType="separate"/>
            </w:r>
            <w:r w:rsidR="00476F89">
              <w:rPr>
                <w:noProof/>
                <w:webHidden/>
              </w:rPr>
              <w:t>47</w:t>
            </w:r>
            <w:r w:rsidR="009324DF">
              <w:rPr>
                <w:noProof/>
                <w:webHidden/>
              </w:rPr>
              <w:fldChar w:fldCharType="end"/>
            </w:r>
          </w:hyperlink>
        </w:p>
        <w:p w14:paraId="7820CB64" w14:textId="7CEBF952" w:rsidR="006E05C2" w:rsidRDefault="006E05C2">
          <w:r>
            <w:rPr>
              <w:b/>
              <w:bCs/>
            </w:rPr>
            <w:fldChar w:fldCharType="end"/>
          </w:r>
        </w:p>
      </w:sdtContent>
    </w:sdt>
    <w:p w14:paraId="69BC41E1" w14:textId="77777777" w:rsidR="00DD46B3" w:rsidRDefault="00DD46B3">
      <w:pPr>
        <w:sectPr w:rsidR="00DD46B3">
          <w:footerReference w:type="default" r:id="rId10"/>
          <w:pgSz w:w="11906" w:h="16838"/>
          <w:pgMar w:top="1417" w:right="1417" w:bottom="1417" w:left="1417" w:header="708" w:footer="708" w:gutter="0"/>
          <w:cols w:space="708"/>
        </w:sectPr>
      </w:pPr>
    </w:p>
    <w:p w14:paraId="080ACA1E" w14:textId="77777777" w:rsidR="001E07D3" w:rsidRDefault="001E07D3" w:rsidP="005C7579">
      <w:pPr>
        <w:pStyle w:val="Nadpis1"/>
        <w:numPr>
          <w:ilvl w:val="0"/>
          <w:numId w:val="0"/>
        </w:numPr>
        <w:spacing w:before="0"/>
        <w:ind w:left="357" w:hanging="357"/>
      </w:pPr>
      <w:bookmarkStart w:id="1" w:name="_Toc498509189"/>
      <w:r>
        <w:lastRenderedPageBreak/>
        <w:t>Manažerské shrnutí</w:t>
      </w:r>
      <w:bookmarkEnd w:id="1"/>
    </w:p>
    <w:p w14:paraId="2616AB3C" w14:textId="059346FF" w:rsidR="005C7579" w:rsidRDefault="005C7579" w:rsidP="005C7579">
      <w:pPr>
        <w:spacing w:after="120"/>
        <w:jc w:val="both"/>
        <w:rPr>
          <w:rFonts w:asciiTheme="minorHAnsi" w:eastAsiaTheme="majorEastAsia" w:hAnsiTheme="minorHAnsi" w:cstheme="majorBidi"/>
          <w:sz w:val="22"/>
          <w:szCs w:val="22"/>
        </w:rPr>
      </w:pPr>
      <w:r w:rsidRPr="004C5F38">
        <w:rPr>
          <w:rFonts w:asciiTheme="minorHAnsi" w:eastAsiaTheme="majorEastAsia" w:hAnsiTheme="minorHAnsi" w:cstheme="majorBidi"/>
          <w:sz w:val="22"/>
          <w:szCs w:val="22"/>
        </w:rPr>
        <w:t>Materiál „Zpráva o plnění nástrojů Státní energetické koncepce ČR do roku 201</w:t>
      </w:r>
      <w:r w:rsidR="004C5F38" w:rsidRPr="004C5F38">
        <w:rPr>
          <w:rFonts w:asciiTheme="minorHAnsi" w:eastAsiaTheme="majorEastAsia" w:hAnsiTheme="minorHAnsi" w:cstheme="majorBidi"/>
          <w:sz w:val="22"/>
          <w:szCs w:val="22"/>
        </w:rPr>
        <w:t>8</w:t>
      </w:r>
      <w:r w:rsidRPr="004C5F38">
        <w:rPr>
          <w:rFonts w:asciiTheme="minorHAnsi" w:eastAsiaTheme="majorEastAsia" w:hAnsiTheme="minorHAnsi" w:cstheme="majorBidi"/>
          <w:sz w:val="22"/>
          <w:szCs w:val="22"/>
        </w:rPr>
        <w:t xml:space="preserve">“ je předkládán pro informaci členům vlády ČR na základě </w:t>
      </w:r>
      <w:r w:rsidR="006B0EF1">
        <w:rPr>
          <w:rFonts w:asciiTheme="minorHAnsi" w:eastAsiaTheme="majorEastAsia" w:hAnsiTheme="minorHAnsi" w:cstheme="majorBidi"/>
          <w:sz w:val="22"/>
          <w:szCs w:val="22"/>
        </w:rPr>
        <w:t xml:space="preserve">jejího </w:t>
      </w:r>
      <w:r w:rsidRPr="004C5F38">
        <w:rPr>
          <w:rFonts w:asciiTheme="minorHAnsi" w:eastAsiaTheme="majorEastAsia" w:hAnsiTheme="minorHAnsi" w:cstheme="majorBidi"/>
          <w:sz w:val="22"/>
          <w:szCs w:val="22"/>
        </w:rPr>
        <w:t>usnesení č. 827 ze dne 19. října 2015. Dokument obsahuje detailní informace o plnění všech nástrojů vymezených ve Státní energetické koncepci ČR od jejího schválení vládou ČR v květnu 2015 do listopadu 201</w:t>
      </w:r>
      <w:r w:rsidR="004C5F38" w:rsidRPr="004C5F38">
        <w:rPr>
          <w:rFonts w:asciiTheme="minorHAnsi" w:eastAsiaTheme="majorEastAsia" w:hAnsiTheme="minorHAnsi" w:cstheme="majorBidi"/>
          <w:sz w:val="22"/>
          <w:szCs w:val="22"/>
        </w:rPr>
        <w:t>8</w:t>
      </w:r>
      <w:r w:rsidRPr="004C5F38">
        <w:rPr>
          <w:rFonts w:asciiTheme="minorHAnsi" w:eastAsiaTheme="majorEastAsia" w:hAnsiTheme="minorHAnsi" w:cstheme="majorBidi"/>
          <w:sz w:val="22"/>
          <w:szCs w:val="22"/>
        </w:rPr>
        <w:t>.</w:t>
      </w:r>
    </w:p>
    <w:p w14:paraId="6FB58853" w14:textId="70C9A6B5" w:rsidR="00CD4F64" w:rsidRPr="00CD4F64" w:rsidRDefault="00CD4F64" w:rsidP="005C7579">
      <w:pPr>
        <w:spacing w:after="120"/>
        <w:jc w:val="both"/>
        <w:rPr>
          <w:rFonts w:asciiTheme="minorHAnsi" w:eastAsiaTheme="majorEastAsia" w:hAnsiTheme="minorHAnsi" w:cstheme="majorBidi"/>
          <w:sz w:val="22"/>
          <w:szCs w:val="22"/>
        </w:rPr>
      </w:pPr>
      <w:r w:rsidRPr="00CD4F64">
        <w:rPr>
          <w:rFonts w:asciiTheme="minorHAnsi" w:hAnsiTheme="minorHAnsi" w:cs="Arial"/>
          <w:sz w:val="22"/>
          <w:szCs w:val="22"/>
        </w:rPr>
        <w:t>Tento materiál je tedy shrnutím stavu plnění úkolů, přičemž jeho účelem není nástroje upravovat či stanovovat nové, a stejně tak ani vyhodnocovat plnění Státní energetické koncepce ČR jakožto celku. Vyhodnocení naplňování Státní energetické koncepce ČR na základě příslušného ustanovení zákona č. 406/2000 Sb., o hospodaření energií, ve znění pozdějších předpisů, bude provedeno v návaznosti na finalizaci a schválení tzv. Národního energeticko-klimatického plánu a bude reflektovat aktuální situaci a trendy v energetice, včetně stavu přípravy výstavby nového jaderného zdroje v ČR. Proces vyhodnocení by měl být zahájen v průběhu roku 2019.</w:t>
      </w:r>
    </w:p>
    <w:p w14:paraId="4EB3D1B2" w14:textId="70A20FC5" w:rsidR="005C7579" w:rsidRPr="004C5F38" w:rsidRDefault="005C7579" w:rsidP="005C7579">
      <w:pPr>
        <w:spacing w:after="120"/>
        <w:jc w:val="both"/>
        <w:rPr>
          <w:rFonts w:asciiTheme="minorHAnsi" w:eastAsiaTheme="majorEastAsia" w:hAnsiTheme="minorHAnsi" w:cstheme="majorBidi"/>
          <w:sz w:val="22"/>
          <w:szCs w:val="22"/>
        </w:rPr>
      </w:pPr>
      <w:r w:rsidRPr="004C5F38">
        <w:rPr>
          <w:rFonts w:asciiTheme="minorHAnsi" w:eastAsiaTheme="majorEastAsia" w:hAnsiTheme="minorHAnsi" w:cstheme="majorBidi"/>
          <w:sz w:val="22"/>
          <w:szCs w:val="22"/>
        </w:rPr>
        <w:t xml:space="preserve">Státní energetická koncepce ČR byla vládou ČR schválena jejím usnesením č. 362 ze dne 18. května 2015. K dosažení cílů Státní energetické koncepce ČR byl jako její součást ustanoven soubor nástrojů. Tyto nástroje jsou členěny </w:t>
      </w:r>
      <w:r w:rsidR="00374C69" w:rsidRPr="004C5F38">
        <w:rPr>
          <w:rFonts w:asciiTheme="minorHAnsi" w:eastAsiaTheme="majorEastAsia" w:hAnsiTheme="minorHAnsi" w:cstheme="majorBidi"/>
          <w:sz w:val="22"/>
          <w:szCs w:val="22"/>
        </w:rPr>
        <w:t>do</w:t>
      </w:r>
      <w:r w:rsidRPr="004C5F38">
        <w:rPr>
          <w:rFonts w:asciiTheme="minorHAnsi" w:eastAsiaTheme="majorEastAsia" w:hAnsiTheme="minorHAnsi" w:cstheme="majorBidi"/>
          <w:sz w:val="22"/>
          <w:szCs w:val="22"/>
        </w:rPr>
        <w:t xml:space="preserve"> následujících </w:t>
      </w:r>
      <w:r w:rsidR="00BB435D" w:rsidRPr="004C5F38">
        <w:rPr>
          <w:rFonts w:asciiTheme="minorHAnsi" w:eastAsiaTheme="majorEastAsia" w:hAnsiTheme="minorHAnsi" w:cstheme="majorBidi"/>
          <w:sz w:val="22"/>
          <w:szCs w:val="22"/>
        </w:rPr>
        <w:t>sedmi</w:t>
      </w:r>
      <w:r w:rsidRPr="004C5F38">
        <w:rPr>
          <w:rFonts w:asciiTheme="minorHAnsi" w:eastAsiaTheme="majorEastAsia" w:hAnsiTheme="minorHAnsi" w:cstheme="majorBidi"/>
          <w:sz w:val="22"/>
          <w:szCs w:val="22"/>
        </w:rPr>
        <w:t xml:space="preserve"> oblastí: i) legislativní, </w:t>
      </w:r>
      <w:proofErr w:type="spellStart"/>
      <w:r w:rsidRPr="004C5F38">
        <w:rPr>
          <w:rFonts w:asciiTheme="minorHAnsi" w:eastAsiaTheme="majorEastAsia" w:hAnsiTheme="minorHAnsi" w:cstheme="majorBidi"/>
          <w:sz w:val="22"/>
          <w:szCs w:val="22"/>
        </w:rPr>
        <w:t>ii</w:t>
      </w:r>
      <w:proofErr w:type="spellEnd"/>
      <w:r w:rsidRPr="004C5F38">
        <w:rPr>
          <w:rFonts w:asciiTheme="minorHAnsi" w:eastAsiaTheme="majorEastAsia" w:hAnsiTheme="minorHAnsi" w:cstheme="majorBidi"/>
          <w:sz w:val="22"/>
          <w:szCs w:val="22"/>
        </w:rPr>
        <w:t xml:space="preserve">) výkonu státní správy, </w:t>
      </w:r>
      <w:proofErr w:type="spellStart"/>
      <w:r w:rsidRPr="004C5F38">
        <w:rPr>
          <w:rFonts w:asciiTheme="minorHAnsi" w:eastAsiaTheme="majorEastAsia" w:hAnsiTheme="minorHAnsi" w:cstheme="majorBidi"/>
          <w:sz w:val="22"/>
          <w:szCs w:val="22"/>
        </w:rPr>
        <w:t>iii</w:t>
      </w:r>
      <w:proofErr w:type="spellEnd"/>
      <w:r w:rsidRPr="004C5F38">
        <w:rPr>
          <w:rFonts w:asciiTheme="minorHAnsi" w:eastAsiaTheme="majorEastAsia" w:hAnsiTheme="minorHAnsi" w:cstheme="majorBidi"/>
          <w:sz w:val="22"/>
          <w:szCs w:val="22"/>
        </w:rPr>
        <w:t>)</w:t>
      </w:r>
      <w:r w:rsidR="00374C69" w:rsidRPr="004C5F38">
        <w:rPr>
          <w:rFonts w:asciiTheme="minorHAnsi" w:eastAsiaTheme="majorEastAsia" w:hAnsiTheme="minorHAnsi" w:cstheme="majorBidi"/>
          <w:sz w:val="22"/>
          <w:szCs w:val="22"/>
        </w:rPr>
        <w:t> </w:t>
      </w:r>
      <w:r w:rsidRPr="004C5F38">
        <w:rPr>
          <w:rFonts w:asciiTheme="minorHAnsi" w:eastAsiaTheme="majorEastAsia" w:hAnsiTheme="minorHAnsi" w:cstheme="majorBidi"/>
          <w:sz w:val="22"/>
          <w:szCs w:val="22"/>
        </w:rPr>
        <w:t>fiskální a daňo</w:t>
      </w:r>
      <w:r w:rsidR="00E14308" w:rsidRPr="004C5F38">
        <w:rPr>
          <w:rFonts w:asciiTheme="minorHAnsi" w:eastAsiaTheme="majorEastAsia" w:hAnsiTheme="minorHAnsi" w:cstheme="majorBidi"/>
          <w:sz w:val="22"/>
          <w:szCs w:val="22"/>
        </w:rPr>
        <w:t>vé</w:t>
      </w:r>
      <w:r w:rsidRPr="004C5F38">
        <w:rPr>
          <w:rFonts w:asciiTheme="minorHAnsi" w:eastAsiaTheme="majorEastAsia" w:hAnsiTheme="minorHAnsi" w:cstheme="majorBidi"/>
          <w:sz w:val="22"/>
          <w:szCs w:val="22"/>
        </w:rPr>
        <w:t xml:space="preserve">, </w:t>
      </w:r>
      <w:proofErr w:type="spellStart"/>
      <w:r w:rsidRPr="004C5F38">
        <w:rPr>
          <w:rFonts w:asciiTheme="minorHAnsi" w:eastAsiaTheme="majorEastAsia" w:hAnsiTheme="minorHAnsi" w:cstheme="majorBidi"/>
          <w:sz w:val="22"/>
          <w:szCs w:val="22"/>
        </w:rPr>
        <w:t>iv</w:t>
      </w:r>
      <w:proofErr w:type="spellEnd"/>
      <w:r w:rsidRPr="004C5F38">
        <w:rPr>
          <w:rFonts w:asciiTheme="minorHAnsi" w:eastAsiaTheme="majorEastAsia" w:hAnsiTheme="minorHAnsi" w:cstheme="majorBidi"/>
          <w:sz w:val="22"/>
          <w:szCs w:val="22"/>
        </w:rPr>
        <w:t xml:space="preserve">) </w:t>
      </w:r>
      <w:r w:rsidR="00BB435D" w:rsidRPr="004C5F38">
        <w:rPr>
          <w:rFonts w:asciiTheme="minorHAnsi" w:eastAsiaTheme="majorEastAsia" w:hAnsiTheme="minorHAnsi" w:cstheme="majorBidi"/>
          <w:sz w:val="22"/>
          <w:szCs w:val="22"/>
        </w:rPr>
        <w:t xml:space="preserve">zahraniční politiky, v) </w:t>
      </w:r>
      <w:r w:rsidRPr="004C5F38">
        <w:rPr>
          <w:rFonts w:asciiTheme="minorHAnsi" w:eastAsiaTheme="majorEastAsia" w:hAnsiTheme="minorHAnsi" w:cstheme="majorBidi"/>
          <w:sz w:val="22"/>
          <w:szCs w:val="22"/>
        </w:rPr>
        <w:t xml:space="preserve">vzdělávání a podpory vědy a výzkumu, </w:t>
      </w:r>
      <w:proofErr w:type="spellStart"/>
      <w:r w:rsidRPr="004C5F38">
        <w:rPr>
          <w:rFonts w:asciiTheme="minorHAnsi" w:eastAsiaTheme="majorEastAsia" w:hAnsiTheme="minorHAnsi" w:cstheme="majorBidi"/>
          <w:sz w:val="22"/>
          <w:szCs w:val="22"/>
        </w:rPr>
        <w:t>v</w:t>
      </w:r>
      <w:r w:rsidR="00BB435D" w:rsidRPr="004C5F38">
        <w:rPr>
          <w:rFonts w:asciiTheme="minorHAnsi" w:eastAsiaTheme="majorEastAsia" w:hAnsiTheme="minorHAnsi" w:cstheme="majorBidi"/>
          <w:sz w:val="22"/>
          <w:szCs w:val="22"/>
        </w:rPr>
        <w:t>i</w:t>
      </w:r>
      <w:proofErr w:type="spellEnd"/>
      <w:r w:rsidRPr="004C5F38">
        <w:rPr>
          <w:rFonts w:asciiTheme="minorHAnsi" w:eastAsiaTheme="majorEastAsia" w:hAnsiTheme="minorHAnsi" w:cstheme="majorBidi"/>
          <w:sz w:val="22"/>
          <w:szCs w:val="22"/>
        </w:rPr>
        <w:t>) výkonu vlastnických práv státu k</w:t>
      </w:r>
      <w:r w:rsidR="00374C69" w:rsidRPr="004C5F38">
        <w:rPr>
          <w:rFonts w:asciiTheme="minorHAnsi" w:eastAsiaTheme="majorEastAsia" w:hAnsiTheme="minorHAnsi" w:cstheme="majorBidi"/>
          <w:sz w:val="22"/>
          <w:szCs w:val="22"/>
        </w:rPr>
        <w:t> </w:t>
      </w:r>
      <w:r w:rsidRPr="004C5F38">
        <w:rPr>
          <w:rFonts w:asciiTheme="minorHAnsi" w:eastAsiaTheme="majorEastAsia" w:hAnsiTheme="minorHAnsi" w:cstheme="majorBidi"/>
          <w:sz w:val="22"/>
          <w:szCs w:val="22"/>
        </w:rPr>
        <w:t xml:space="preserve">energetickým společnostem s majetkovou účastí České republiky a </w:t>
      </w:r>
      <w:proofErr w:type="spellStart"/>
      <w:r w:rsidRPr="004C5F38">
        <w:rPr>
          <w:rFonts w:asciiTheme="minorHAnsi" w:eastAsiaTheme="majorEastAsia" w:hAnsiTheme="minorHAnsi" w:cstheme="majorBidi"/>
          <w:sz w:val="22"/>
          <w:szCs w:val="22"/>
        </w:rPr>
        <w:t>vi</w:t>
      </w:r>
      <w:r w:rsidR="00BB435D" w:rsidRPr="004C5F38">
        <w:rPr>
          <w:rFonts w:asciiTheme="minorHAnsi" w:eastAsiaTheme="majorEastAsia" w:hAnsiTheme="minorHAnsi" w:cstheme="majorBidi"/>
          <w:sz w:val="22"/>
          <w:szCs w:val="22"/>
        </w:rPr>
        <w:t>i</w:t>
      </w:r>
      <w:proofErr w:type="spellEnd"/>
      <w:r w:rsidRPr="004C5F38">
        <w:rPr>
          <w:rFonts w:asciiTheme="minorHAnsi" w:eastAsiaTheme="majorEastAsia" w:hAnsiTheme="minorHAnsi" w:cstheme="majorBidi"/>
          <w:sz w:val="22"/>
          <w:szCs w:val="22"/>
        </w:rPr>
        <w:t>) komunikace a medializace.</w:t>
      </w:r>
    </w:p>
    <w:p w14:paraId="63807CA4" w14:textId="6E3B91A2" w:rsidR="005C7579" w:rsidRPr="004C5F38" w:rsidRDefault="00CD4F64" w:rsidP="005C7579">
      <w:pPr>
        <w:spacing w:after="120"/>
        <w:jc w:val="both"/>
        <w:rPr>
          <w:rFonts w:asciiTheme="minorHAnsi" w:eastAsiaTheme="majorEastAsia" w:hAnsiTheme="minorHAnsi" w:cstheme="majorBidi"/>
          <w:sz w:val="22"/>
          <w:szCs w:val="22"/>
        </w:rPr>
      </w:pPr>
      <w:r>
        <w:rPr>
          <w:rFonts w:asciiTheme="minorHAnsi" w:eastAsiaTheme="majorEastAsia" w:hAnsiTheme="minorHAnsi" w:cstheme="majorBidi"/>
          <w:sz w:val="22"/>
          <w:szCs w:val="22"/>
        </w:rPr>
        <w:t>V</w:t>
      </w:r>
      <w:r w:rsidR="005C7579" w:rsidRPr="004C5F38">
        <w:rPr>
          <w:rFonts w:asciiTheme="minorHAnsi" w:eastAsiaTheme="majorEastAsia" w:hAnsiTheme="minorHAnsi" w:cstheme="majorBidi"/>
          <w:sz w:val="22"/>
          <w:szCs w:val="22"/>
        </w:rPr>
        <w:t xml:space="preserve"> rámci celkového počtu 49 nástrojů, které jsou ve Státní energetické koncepci ČR vymezeny</w:t>
      </w:r>
      <w:r>
        <w:rPr>
          <w:rFonts w:asciiTheme="minorHAnsi" w:eastAsiaTheme="majorEastAsia" w:hAnsiTheme="minorHAnsi" w:cstheme="majorBidi"/>
          <w:sz w:val="22"/>
          <w:szCs w:val="22"/>
        </w:rPr>
        <w:t>, bylo aktuálně</w:t>
      </w:r>
      <w:r w:rsidRPr="004C5F38">
        <w:rPr>
          <w:rFonts w:asciiTheme="minorHAnsi" w:eastAsiaTheme="majorEastAsia" w:hAnsiTheme="minorHAnsi" w:cstheme="majorBidi"/>
          <w:sz w:val="22"/>
          <w:szCs w:val="22"/>
        </w:rPr>
        <w:t xml:space="preserve"> zcela splněno </w:t>
      </w:r>
      <w:r>
        <w:rPr>
          <w:rFonts w:asciiTheme="minorHAnsi" w:eastAsiaTheme="majorEastAsia" w:hAnsiTheme="minorHAnsi" w:cstheme="majorBidi"/>
          <w:sz w:val="22"/>
          <w:szCs w:val="22"/>
        </w:rPr>
        <w:t>20</w:t>
      </w:r>
      <w:r w:rsidRPr="004C5F38">
        <w:rPr>
          <w:rFonts w:asciiTheme="minorHAnsi" w:eastAsiaTheme="majorEastAsia" w:hAnsiTheme="minorHAnsi" w:cstheme="majorBidi"/>
          <w:sz w:val="22"/>
          <w:szCs w:val="22"/>
        </w:rPr>
        <w:t xml:space="preserve"> úkolů, </w:t>
      </w:r>
      <w:r>
        <w:rPr>
          <w:rFonts w:asciiTheme="minorHAnsi" w:eastAsiaTheme="majorEastAsia" w:hAnsiTheme="minorHAnsi" w:cstheme="majorBidi"/>
          <w:sz w:val="22"/>
          <w:szCs w:val="22"/>
        </w:rPr>
        <w:t>dílčím způsobem</w:t>
      </w:r>
      <w:r w:rsidRPr="004C5F38">
        <w:rPr>
          <w:rFonts w:asciiTheme="minorHAnsi" w:eastAsiaTheme="majorEastAsia" w:hAnsiTheme="minorHAnsi" w:cstheme="majorBidi"/>
          <w:sz w:val="22"/>
          <w:szCs w:val="22"/>
        </w:rPr>
        <w:t xml:space="preserve"> </w:t>
      </w:r>
      <w:r>
        <w:rPr>
          <w:rFonts w:asciiTheme="minorHAnsi" w:eastAsiaTheme="majorEastAsia" w:hAnsiTheme="minorHAnsi" w:cstheme="majorBidi"/>
          <w:sz w:val="22"/>
          <w:szCs w:val="22"/>
        </w:rPr>
        <w:t>pak bylo splněno 6</w:t>
      </w:r>
      <w:r w:rsidRPr="004C5F38">
        <w:rPr>
          <w:rFonts w:asciiTheme="minorHAnsi" w:eastAsiaTheme="majorEastAsia" w:hAnsiTheme="minorHAnsi" w:cstheme="majorBidi"/>
          <w:sz w:val="22"/>
          <w:szCs w:val="22"/>
        </w:rPr>
        <w:t xml:space="preserve"> úkolů s konkrétně určeným termínem plnění a průběžně je plněno 12 úkolů s průběžným termínem plnění</w:t>
      </w:r>
      <w:r w:rsidR="005C7579" w:rsidRPr="004C5F38">
        <w:rPr>
          <w:rFonts w:asciiTheme="minorHAnsi" w:eastAsiaTheme="majorEastAsia" w:hAnsiTheme="minorHAnsi" w:cstheme="majorBidi"/>
          <w:sz w:val="22"/>
          <w:szCs w:val="22"/>
        </w:rPr>
        <w:t>.</w:t>
      </w:r>
    </w:p>
    <w:p w14:paraId="533A9DC2" w14:textId="3CAB826E" w:rsidR="005C7579" w:rsidRPr="00C00408" w:rsidRDefault="005C7579" w:rsidP="005C7579">
      <w:pPr>
        <w:spacing w:after="120"/>
        <w:jc w:val="both"/>
        <w:rPr>
          <w:rFonts w:asciiTheme="minorHAnsi" w:eastAsiaTheme="majorEastAsia" w:hAnsiTheme="minorHAnsi" w:cstheme="majorBidi"/>
          <w:sz w:val="22"/>
          <w:szCs w:val="22"/>
        </w:rPr>
      </w:pPr>
      <w:r w:rsidRPr="00C00408">
        <w:rPr>
          <w:rFonts w:asciiTheme="minorHAnsi" w:eastAsiaTheme="majorEastAsia" w:hAnsiTheme="minorHAnsi" w:cstheme="majorBidi"/>
          <w:sz w:val="22"/>
          <w:szCs w:val="22"/>
        </w:rPr>
        <w:t xml:space="preserve">V oblasti legislativní byly vydány zákony </w:t>
      </w:r>
      <w:r w:rsidR="001E5F95" w:rsidRPr="00C00408">
        <w:rPr>
          <w:rFonts w:asciiTheme="minorHAnsi" w:eastAsiaTheme="majorEastAsia" w:hAnsiTheme="minorHAnsi" w:cstheme="majorBidi"/>
          <w:sz w:val="22"/>
          <w:szCs w:val="22"/>
        </w:rPr>
        <w:t xml:space="preserve">č. 131/2015 Sb., kterým se mění zákon č. 458/2000 Sb., o podmínkách podnikání a o výkonu státní správy v energetických odvětvích, dále zákon č. 103/2015 Sb., kterým se mění zákon č. 406/2000 Sb., o hospodaření energií, dále zákon č. 369/2016 Sb., kterým se mění zákon č. 201/2012 Sb., o ochraně ovzduší, zákon č. 263/2016 Sb., atomový zákon, zákon č. 225/2017 Sb., kterým se mění zákon č. 183/2006 Sb., o územním plánování a stavebním řádu a zákon č. 326/2017 Sb., kterým se mění zákon č. 100/2001 Sb., o posuzování vlivů na životní prostředí. Kromě těchto právních úprav byly novelizovány </w:t>
      </w:r>
      <w:r w:rsidR="00C00408">
        <w:rPr>
          <w:rFonts w:asciiTheme="minorHAnsi" w:eastAsiaTheme="majorEastAsia" w:hAnsiTheme="minorHAnsi" w:cstheme="majorBidi"/>
          <w:sz w:val="22"/>
          <w:szCs w:val="22"/>
        </w:rPr>
        <w:t xml:space="preserve">i </w:t>
      </w:r>
      <w:r w:rsidR="001E5F95" w:rsidRPr="00C00408">
        <w:rPr>
          <w:rFonts w:asciiTheme="minorHAnsi" w:eastAsiaTheme="majorEastAsia" w:hAnsiTheme="minorHAnsi" w:cstheme="majorBidi"/>
          <w:sz w:val="22"/>
          <w:szCs w:val="22"/>
        </w:rPr>
        <w:t>související prováděcí právní předpisy</w:t>
      </w:r>
      <w:r w:rsidR="00683241">
        <w:rPr>
          <w:rFonts w:asciiTheme="minorHAnsi" w:eastAsiaTheme="majorEastAsia" w:hAnsiTheme="minorHAnsi" w:cstheme="majorBidi"/>
          <w:sz w:val="22"/>
          <w:szCs w:val="22"/>
        </w:rPr>
        <w:t>.</w:t>
      </w:r>
      <w:r w:rsidR="001E5F95" w:rsidRPr="00C00408">
        <w:rPr>
          <w:rFonts w:asciiTheme="minorHAnsi" w:eastAsiaTheme="majorEastAsia" w:hAnsiTheme="minorHAnsi" w:cstheme="majorBidi"/>
          <w:sz w:val="22"/>
          <w:szCs w:val="22"/>
        </w:rPr>
        <w:t xml:space="preserve"> </w:t>
      </w:r>
      <w:r w:rsidR="00683241">
        <w:rPr>
          <w:rFonts w:asciiTheme="minorHAnsi" w:eastAsiaTheme="majorEastAsia" w:hAnsiTheme="minorHAnsi" w:cstheme="majorBidi"/>
          <w:sz w:val="22"/>
          <w:szCs w:val="22"/>
        </w:rPr>
        <w:t>B</w:t>
      </w:r>
      <w:r w:rsidR="001E5F95" w:rsidRPr="00C00408">
        <w:rPr>
          <w:rFonts w:asciiTheme="minorHAnsi" w:eastAsiaTheme="majorEastAsia" w:hAnsiTheme="minorHAnsi" w:cstheme="majorBidi"/>
          <w:sz w:val="22"/>
          <w:szCs w:val="22"/>
        </w:rPr>
        <w:t>yl připraven rovněž návrh nového zákona o odpadech, který</w:t>
      </w:r>
      <w:r w:rsidR="00C00408">
        <w:rPr>
          <w:rFonts w:asciiTheme="minorHAnsi" w:eastAsiaTheme="majorEastAsia" w:hAnsiTheme="minorHAnsi" w:cstheme="majorBidi"/>
          <w:sz w:val="22"/>
          <w:szCs w:val="22"/>
        </w:rPr>
        <w:t xml:space="preserve"> </w:t>
      </w:r>
      <w:r w:rsidR="00683241">
        <w:rPr>
          <w:rFonts w:asciiTheme="minorHAnsi" w:eastAsiaTheme="majorEastAsia" w:hAnsiTheme="minorHAnsi" w:cstheme="majorBidi"/>
          <w:sz w:val="22"/>
          <w:szCs w:val="22"/>
        </w:rPr>
        <w:t xml:space="preserve">však musel být </w:t>
      </w:r>
      <w:r w:rsidR="00C00408">
        <w:rPr>
          <w:rFonts w:asciiTheme="minorHAnsi" w:eastAsiaTheme="majorEastAsia" w:hAnsiTheme="minorHAnsi" w:cstheme="majorBidi"/>
          <w:sz w:val="22"/>
          <w:szCs w:val="22"/>
        </w:rPr>
        <w:t xml:space="preserve">následně upraven v návaznosti </w:t>
      </w:r>
      <w:r w:rsidR="00683241">
        <w:rPr>
          <w:rFonts w:asciiTheme="minorHAnsi" w:eastAsiaTheme="majorEastAsia" w:hAnsiTheme="minorHAnsi" w:cstheme="majorBidi"/>
          <w:sz w:val="22"/>
          <w:szCs w:val="22"/>
        </w:rPr>
        <w:t xml:space="preserve">na nově přijatou evropskou </w:t>
      </w:r>
      <w:r w:rsidR="00B5744B">
        <w:rPr>
          <w:rFonts w:asciiTheme="minorHAnsi" w:eastAsiaTheme="majorEastAsia" w:hAnsiTheme="minorHAnsi" w:cstheme="majorBidi"/>
          <w:sz w:val="22"/>
          <w:szCs w:val="22"/>
        </w:rPr>
        <w:t>legislativu, a znovu tak bude muset projít</w:t>
      </w:r>
      <w:r w:rsidR="00683241">
        <w:rPr>
          <w:rFonts w:asciiTheme="minorHAnsi" w:eastAsiaTheme="majorEastAsia" w:hAnsiTheme="minorHAnsi" w:cstheme="majorBidi"/>
          <w:sz w:val="22"/>
          <w:szCs w:val="22"/>
        </w:rPr>
        <w:t xml:space="preserve"> meziresor</w:t>
      </w:r>
      <w:r w:rsidR="00F51BB5">
        <w:rPr>
          <w:rFonts w:asciiTheme="minorHAnsi" w:eastAsiaTheme="majorEastAsia" w:hAnsiTheme="minorHAnsi" w:cstheme="majorBidi"/>
          <w:sz w:val="22"/>
          <w:szCs w:val="22"/>
        </w:rPr>
        <w:t>tním připomínkovým ř</w:t>
      </w:r>
      <w:r w:rsidR="00683241">
        <w:rPr>
          <w:rFonts w:asciiTheme="minorHAnsi" w:eastAsiaTheme="majorEastAsia" w:hAnsiTheme="minorHAnsi" w:cstheme="majorBidi"/>
          <w:sz w:val="22"/>
          <w:szCs w:val="22"/>
        </w:rPr>
        <w:t>ízením</w:t>
      </w:r>
      <w:r w:rsidR="001E5F95" w:rsidRPr="00C00408">
        <w:rPr>
          <w:rFonts w:asciiTheme="minorHAnsi" w:eastAsiaTheme="majorEastAsia" w:hAnsiTheme="minorHAnsi" w:cstheme="majorBidi"/>
          <w:sz w:val="22"/>
          <w:szCs w:val="22"/>
        </w:rPr>
        <w:t>.</w:t>
      </w:r>
      <w:r w:rsidR="00683241">
        <w:rPr>
          <w:rFonts w:asciiTheme="minorHAnsi" w:eastAsiaTheme="majorEastAsia" w:hAnsiTheme="minorHAnsi" w:cstheme="majorBidi"/>
          <w:sz w:val="22"/>
          <w:szCs w:val="22"/>
        </w:rPr>
        <w:t xml:space="preserve"> V návaznosti na vydaná rozhodnutí Evropské komise je pak připravována novela zákona o podporovaných zdrojích energie.</w:t>
      </w:r>
      <w:r w:rsidRPr="00C00408">
        <w:rPr>
          <w:rFonts w:asciiTheme="minorHAnsi" w:eastAsiaTheme="majorEastAsia" w:hAnsiTheme="minorHAnsi" w:cstheme="majorBidi"/>
          <w:sz w:val="22"/>
          <w:szCs w:val="22"/>
        </w:rPr>
        <w:t xml:space="preserve"> Některé požadavky Státní energetické koncepce ČR byly do legislativy promítnuty </w:t>
      </w:r>
      <w:r w:rsidR="00B250AD" w:rsidRPr="00C00408">
        <w:rPr>
          <w:rFonts w:asciiTheme="minorHAnsi" w:eastAsiaTheme="majorEastAsia" w:hAnsiTheme="minorHAnsi" w:cstheme="majorBidi"/>
          <w:sz w:val="22"/>
          <w:szCs w:val="22"/>
        </w:rPr>
        <w:t xml:space="preserve">zatím </w:t>
      </w:r>
      <w:r w:rsidRPr="00C00408">
        <w:rPr>
          <w:rFonts w:asciiTheme="minorHAnsi" w:eastAsiaTheme="majorEastAsia" w:hAnsiTheme="minorHAnsi" w:cstheme="majorBidi"/>
          <w:sz w:val="22"/>
          <w:szCs w:val="22"/>
        </w:rPr>
        <w:t xml:space="preserve">pouze dílčím způsobem a jejich plnění </w:t>
      </w:r>
      <w:r w:rsidR="001E5F95" w:rsidRPr="00C00408">
        <w:rPr>
          <w:rFonts w:asciiTheme="minorHAnsi" w:eastAsiaTheme="majorEastAsia" w:hAnsiTheme="minorHAnsi" w:cstheme="majorBidi"/>
          <w:sz w:val="22"/>
          <w:szCs w:val="22"/>
        </w:rPr>
        <w:t xml:space="preserve">tedy </w:t>
      </w:r>
      <w:r w:rsidRPr="00C00408">
        <w:rPr>
          <w:rFonts w:asciiTheme="minorHAnsi" w:eastAsiaTheme="majorEastAsia" w:hAnsiTheme="minorHAnsi" w:cstheme="majorBidi"/>
          <w:sz w:val="22"/>
          <w:szCs w:val="22"/>
        </w:rPr>
        <w:t>bude dále probíhat v</w:t>
      </w:r>
      <w:r w:rsidR="00D303B2">
        <w:rPr>
          <w:rFonts w:asciiTheme="minorHAnsi" w:eastAsiaTheme="majorEastAsia" w:hAnsiTheme="minorHAnsi" w:cstheme="majorBidi"/>
          <w:sz w:val="22"/>
          <w:szCs w:val="22"/>
        </w:rPr>
        <w:t> </w:t>
      </w:r>
      <w:r w:rsidRPr="00C00408">
        <w:rPr>
          <w:rFonts w:asciiTheme="minorHAnsi" w:eastAsiaTheme="majorEastAsia" w:hAnsiTheme="minorHAnsi" w:cstheme="majorBidi"/>
          <w:sz w:val="22"/>
          <w:szCs w:val="22"/>
        </w:rPr>
        <w:t xml:space="preserve">rámci připravovaných a budoucích úprav </w:t>
      </w:r>
      <w:r w:rsidR="00D303B2">
        <w:rPr>
          <w:rFonts w:asciiTheme="minorHAnsi" w:eastAsiaTheme="majorEastAsia" w:hAnsiTheme="minorHAnsi" w:cstheme="majorBidi"/>
          <w:sz w:val="22"/>
          <w:szCs w:val="22"/>
        </w:rPr>
        <w:t>uve</w:t>
      </w:r>
      <w:r w:rsidRPr="00C00408">
        <w:rPr>
          <w:rFonts w:asciiTheme="minorHAnsi" w:eastAsiaTheme="majorEastAsia" w:hAnsiTheme="minorHAnsi" w:cstheme="majorBidi"/>
          <w:sz w:val="22"/>
          <w:szCs w:val="22"/>
        </w:rPr>
        <w:t>d</w:t>
      </w:r>
      <w:r w:rsidR="00D303B2">
        <w:rPr>
          <w:rFonts w:asciiTheme="minorHAnsi" w:eastAsiaTheme="majorEastAsia" w:hAnsiTheme="minorHAnsi" w:cstheme="majorBidi"/>
          <w:sz w:val="22"/>
          <w:szCs w:val="22"/>
        </w:rPr>
        <w:t>e</w:t>
      </w:r>
      <w:r w:rsidRPr="00C00408">
        <w:rPr>
          <w:rFonts w:asciiTheme="minorHAnsi" w:eastAsiaTheme="majorEastAsia" w:hAnsiTheme="minorHAnsi" w:cstheme="majorBidi"/>
          <w:sz w:val="22"/>
          <w:szCs w:val="22"/>
        </w:rPr>
        <w:t>ných zákonů</w:t>
      </w:r>
      <w:r w:rsidR="001E5F95" w:rsidRPr="00C00408">
        <w:rPr>
          <w:rFonts w:asciiTheme="minorHAnsi" w:eastAsiaTheme="majorEastAsia" w:hAnsiTheme="minorHAnsi" w:cstheme="majorBidi"/>
          <w:sz w:val="22"/>
          <w:szCs w:val="22"/>
        </w:rPr>
        <w:t>, případně souvisejících prováděcích předpisů</w:t>
      </w:r>
      <w:r w:rsidRPr="00C00408">
        <w:rPr>
          <w:rFonts w:asciiTheme="minorHAnsi" w:eastAsiaTheme="majorEastAsia" w:hAnsiTheme="minorHAnsi" w:cstheme="majorBidi"/>
          <w:sz w:val="22"/>
          <w:szCs w:val="22"/>
        </w:rPr>
        <w:t>.</w:t>
      </w:r>
    </w:p>
    <w:p w14:paraId="0AC2F0D3" w14:textId="6CBEA238" w:rsidR="005C7579" w:rsidRPr="00F51BB5" w:rsidRDefault="00691EAB" w:rsidP="005C7579">
      <w:pPr>
        <w:spacing w:after="120"/>
        <w:jc w:val="both"/>
        <w:rPr>
          <w:rFonts w:asciiTheme="minorHAnsi" w:eastAsiaTheme="majorEastAsia" w:hAnsiTheme="minorHAnsi" w:cstheme="majorBidi"/>
          <w:sz w:val="22"/>
          <w:szCs w:val="22"/>
        </w:rPr>
      </w:pPr>
      <w:r w:rsidRPr="00B5744B">
        <w:rPr>
          <w:rFonts w:asciiTheme="minorHAnsi" w:eastAsiaTheme="majorEastAsia" w:hAnsiTheme="minorHAnsi" w:cstheme="majorBidi"/>
          <w:sz w:val="22"/>
          <w:szCs w:val="22"/>
        </w:rPr>
        <w:t xml:space="preserve">V oblasti výkonu státní správy byla </w:t>
      </w:r>
      <w:r w:rsidR="00B5744B">
        <w:rPr>
          <w:rFonts w:asciiTheme="minorHAnsi" w:eastAsiaTheme="majorEastAsia" w:hAnsiTheme="minorHAnsi" w:cstheme="majorBidi"/>
          <w:sz w:val="22"/>
          <w:szCs w:val="22"/>
        </w:rPr>
        <w:t>více než</w:t>
      </w:r>
      <w:r w:rsidRPr="00B5744B">
        <w:rPr>
          <w:rFonts w:asciiTheme="minorHAnsi" w:eastAsiaTheme="majorEastAsia" w:hAnsiTheme="minorHAnsi" w:cstheme="majorBidi"/>
          <w:sz w:val="22"/>
          <w:szCs w:val="22"/>
        </w:rPr>
        <w:t xml:space="preserve"> polovina úkolů vyplývajících ze stanovených nástrojů s termínem plnění před koncem roku 201</w:t>
      </w:r>
      <w:r w:rsidR="00B5744B">
        <w:rPr>
          <w:rFonts w:asciiTheme="minorHAnsi" w:eastAsiaTheme="majorEastAsia" w:hAnsiTheme="minorHAnsi" w:cstheme="majorBidi"/>
          <w:sz w:val="22"/>
          <w:szCs w:val="22"/>
        </w:rPr>
        <w:t>8</w:t>
      </w:r>
      <w:r w:rsidRPr="00B5744B">
        <w:rPr>
          <w:rFonts w:asciiTheme="minorHAnsi" w:eastAsiaTheme="majorEastAsia" w:hAnsiTheme="minorHAnsi" w:cstheme="majorBidi"/>
          <w:sz w:val="22"/>
          <w:szCs w:val="22"/>
        </w:rPr>
        <w:t xml:space="preserve"> již splněna a část úkolů má nastaveno průběžné plnění. U některých úkolů v této oblasti, jako například regulace energetických odvětví, je v podrobnostech uvedeno množství dílčích kroků, které podmiňují plnění daného úkolu jako celku. </w:t>
      </w:r>
      <w:r w:rsidR="005C7579" w:rsidRPr="00B5744B">
        <w:rPr>
          <w:rFonts w:asciiTheme="minorHAnsi" w:eastAsiaTheme="majorEastAsia" w:hAnsiTheme="minorHAnsi" w:cstheme="majorBidi"/>
          <w:sz w:val="22"/>
          <w:szCs w:val="22"/>
        </w:rPr>
        <w:t xml:space="preserve">V tomto ohledu je třeba zdůraznit, že byly připraveny a schváleny klíčové národní akční plány, které dále konkretizují cíle a nástroje v daných oblastech, jedná se zejména o Národní akční plán pro chytré sítě, Národní akční plán čisté mobility, Národní akční plán energetické účinnosti a Národní akční plán ČR pro energii z obnovitelných zdrojů. </w:t>
      </w:r>
      <w:r w:rsidR="00B416F3">
        <w:rPr>
          <w:rFonts w:asciiTheme="minorHAnsi" w:eastAsiaTheme="majorEastAsia" w:hAnsiTheme="minorHAnsi" w:cstheme="majorBidi"/>
          <w:sz w:val="22"/>
          <w:szCs w:val="22"/>
        </w:rPr>
        <w:t xml:space="preserve">Byla také aktualizována Koncepce </w:t>
      </w:r>
      <w:r w:rsidR="007B23A4">
        <w:rPr>
          <w:rFonts w:asciiTheme="minorHAnsi" w:eastAsiaTheme="majorEastAsia" w:hAnsiTheme="minorHAnsi" w:cstheme="majorBidi"/>
          <w:sz w:val="22"/>
          <w:szCs w:val="22"/>
        </w:rPr>
        <w:t>n</w:t>
      </w:r>
      <w:r w:rsidR="00B416F3">
        <w:rPr>
          <w:rFonts w:asciiTheme="minorHAnsi" w:eastAsiaTheme="majorEastAsia" w:hAnsiTheme="minorHAnsi" w:cstheme="majorBidi"/>
          <w:sz w:val="22"/>
          <w:szCs w:val="22"/>
        </w:rPr>
        <w:t>akládání s radioaktivními odpady (RAO) a vyhořelým jaderným palivem (VJP) v ČR a d</w:t>
      </w:r>
      <w:r w:rsidR="005C7579" w:rsidRPr="00B5744B">
        <w:rPr>
          <w:rFonts w:asciiTheme="minorHAnsi" w:eastAsiaTheme="majorEastAsia" w:hAnsiTheme="minorHAnsi" w:cstheme="majorBidi"/>
          <w:sz w:val="22"/>
          <w:szCs w:val="22"/>
        </w:rPr>
        <w:t xml:space="preserve">ále je možné zmínit </w:t>
      </w:r>
      <w:r w:rsidR="00B416F3">
        <w:rPr>
          <w:rFonts w:asciiTheme="minorHAnsi" w:eastAsiaTheme="majorEastAsia" w:hAnsiTheme="minorHAnsi" w:cstheme="majorBidi"/>
          <w:sz w:val="22"/>
          <w:szCs w:val="22"/>
        </w:rPr>
        <w:t xml:space="preserve">i </w:t>
      </w:r>
      <w:r w:rsidR="005C7579" w:rsidRPr="00B5744B">
        <w:rPr>
          <w:rFonts w:asciiTheme="minorHAnsi" w:eastAsiaTheme="majorEastAsia" w:hAnsiTheme="minorHAnsi" w:cstheme="majorBidi"/>
          <w:sz w:val="22"/>
          <w:szCs w:val="22"/>
        </w:rPr>
        <w:t>přípravu a schválení nařízení vlády č.</w:t>
      </w:r>
      <w:r w:rsidRPr="00B5744B">
        <w:rPr>
          <w:rFonts w:asciiTheme="minorHAnsi" w:eastAsiaTheme="majorEastAsia" w:hAnsiTheme="minorHAnsi" w:cstheme="majorBidi"/>
          <w:sz w:val="22"/>
          <w:szCs w:val="22"/>
        </w:rPr>
        <w:t> </w:t>
      </w:r>
      <w:r w:rsidR="005C7579" w:rsidRPr="00B5744B">
        <w:rPr>
          <w:rFonts w:asciiTheme="minorHAnsi" w:eastAsiaTheme="majorEastAsia" w:hAnsiTheme="minorHAnsi" w:cstheme="majorBidi"/>
          <w:sz w:val="22"/>
          <w:szCs w:val="22"/>
        </w:rPr>
        <w:t>232/2015 Sb., o státní energetické koncepci a územní energetické koncepci, které stanovuje obsah a způsob zpracování ÚEK a obsah a strukturu podkladů pro její zpracování a pro zpracování zprávy o</w:t>
      </w:r>
      <w:r w:rsidRPr="00B5744B">
        <w:rPr>
          <w:rFonts w:asciiTheme="minorHAnsi" w:eastAsiaTheme="majorEastAsia" w:hAnsiTheme="minorHAnsi" w:cstheme="majorBidi"/>
          <w:sz w:val="22"/>
          <w:szCs w:val="22"/>
        </w:rPr>
        <w:t> </w:t>
      </w:r>
      <w:r w:rsidR="005C7579" w:rsidRPr="00B5744B">
        <w:rPr>
          <w:rFonts w:asciiTheme="minorHAnsi" w:eastAsiaTheme="majorEastAsia" w:hAnsiTheme="minorHAnsi" w:cstheme="majorBidi"/>
          <w:sz w:val="22"/>
          <w:szCs w:val="22"/>
        </w:rPr>
        <w:t>jejím uplatňování, čímž by měla být efektivněji zajištěna provázanost státní energetické koncepce a</w:t>
      </w:r>
      <w:r w:rsidRPr="00B5744B">
        <w:rPr>
          <w:rFonts w:asciiTheme="minorHAnsi" w:eastAsiaTheme="majorEastAsia" w:hAnsiTheme="minorHAnsi" w:cstheme="majorBidi"/>
          <w:sz w:val="22"/>
          <w:szCs w:val="22"/>
        </w:rPr>
        <w:t> </w:t>
      </w:r>
      <w:r w:rsidR="005C7579" w:rsidRPr="00B5744B">
        <w:rPr>
          <w:rFonts w:asciiTheme="minorHAnsi" w:eastAsiaTheme="majorEastAsia" w:hAnsiTheme="minorHAnsi" w:cstheme="majorBidi"/>
          <w:sz w:val="22"/>
          <w:szCs w:val="22"/>
        </w:rPr>
        <w:t>územních energetických koncepcí.</w:t>
      </w:r>
    </w:p>
    <w:p w14:paraId="739D7DDB" w14:textId="0FA14B1D" w:rsidR="005C7579" w:rsidRPr="00B416F3" w:rsidRDefault="005C7579" w:rsidP="005C7579">
      <w:pPr>
        <w:spacing w:after="120"/>
        <w:jc w:val="both"/>
        <w:rPr>
          <w:rFonts w:asciiTheme="minorHAnsi" w:eastAsiaTheme="majorEastAsia" w:hAnsiTheme="minorHAnsi" w:cstheme="majorBidi"/>
          <w:sz w:val="22"/>
          <w:szCs w:val="22"/>
        </w:rPr>
      </w:pPr>
      <w:r w:rsidRPr="00B416F3">
        <w:rPr>
          <w:rFonts w:asciiTheme="minorHAnsi" w:eastAsiaTheme="majorEastAsia" w:hAnsiTheme="minorHAnsi" w:cstheme="majorBidi"/>
          <w:sz w:val="22"/>
          <w:szCs w:val="22"/>
        </w:rPr>
        <w:lastRenderedPageBreak/>
        <w:t>V oblasti fiskální a daňové byly všechny úkoly stanovené v rámci nástrojů formulovaných ve vztahu k</w:t>
      </w:r>
      <w:r w:rsidR="00374C69" w:rsidRPr="00B416F3">
        <w:rPr>
          <w:rFonts w:asciiTheme="minorHAnsi" w:eastAsiaTheme="majorEastAsia" w:hAnsiTheme="minorHAnsi" w:cstheme="majorBidi"/>
          <w:sz w:val="22"/>
          <w:szCs w:val="22"/>
        </w:rPr>
        <w:t> </w:t>
      </w:r>
      <w:r w:rsidRPr="00B416F3">
        <w:rPr>
          <w:rFonts w:asciiTheme="minorHAnsi" w:eastAsiaTheme="majorEastAsia" w:hAnsiTheme="minorHAnsi" w:cstheme="majorBidi"/>
          <w:sz w:val="22"/>
          <w:szCs w:val="22"/>
        </w:rPr>
        <w:t>využití prostředků poskytovaných z fondů Evropské unie, nebo ze státního rozpočtu splněny a jejich plnění je zajištěno také pro další období.</w:t>
      </w:r>
    </w:p>
    <w:p w14:paraId="1443FD91" w14:textId="68623E9E" w:rsidR="00BB435D" w:rsidRPr="00B416F3" w:rsidRDefault="00BB435D" w:rsidP="005C7579">
      <w:pPr>
        <w:spacing w:after="120"/>
        <w:jc w:val="both"/>
        <w:rPr>
          <w:rFonts w:asciiTheme="minorHAnsi" w:eastAsiaTheme="majorEastAsia" w:hAnsiTheme="minorHAnsi" w:cstheme="majorBidi"/>
          <w:sz w:val="22"/>
          <w:szCs w:val="22"/>
        </w:rPr>
      </w:pPr>
      <w:r w:rsidRPr="00B416F3">
        <w:rPr>
          <w:rFonts w:asciiTheme="minorHAnsi" w:eastAsiaTheme="majorEastAsia" w:hAnsiTheme="minorHAnsi" w:cstheme="majorBidi"/>
          <w:sz w:val="22"/>
          <w:szCs w:val="22"/>
        </w:rPr>
        <w:t xml:space="preserve">V oblasti zahraniční politiky byl </w:t>
      </w:r>
      <w:r w:rsidR="00B416F3">
        <w:rPr>
          <w:rFonts w:asciiTheme="minorHAnsi" w:eastAsiaTheme="majorEastAsia" w:hAnsiTheme="minorHAnsi" w:cstheme="majorBidi"/>
          <w:sz w:val="22"/>
          <w:szCs w:val="22"/>
        </w:rPr>
        <w:t>vymezen</w:t>
      </w:r>
      <w:r w:rsidRPr="00B416F3">
        <w:rPr>
          <w:rFonts w:asciiTheme="minorHAnsi" w:eastAsiaTheme="majorEastAsia" w:hAnsiTheme="minorHAnsi" w:cstheme="majorBidi"/>
          <w:sz w:val="22"/>
          <w:szCs w:val="22"/>
        </w:rPr>
        <w:t xml:space="preserve"> jeden souhrnný nástroj týkající se zajištění stálé koordinace při stanovování a prosazování klíčových zájmů ČR, koordinace účastí na mezinárodních jednáních, zastupování ČR v mezinárodních organizacích, včetně jejich pracovních skupin a dále na důležitých konferencích a odborných diskusích, a to jak ve vztahu k EU a jejím členským státům, tak ve vztahu k zemím mimo EU. Všechny úkoly stanovené v rámci tohoto nástroje jsou plněny průběžně.</w:t>
      </w:r>
    </w:p>
    <w:p w14:paraId="7BF22507" w14:textId="653806EA" w:rsidR="005C7579" w:rsidRPr="00B416F3" w:rsidRDefault="005C7579" w:rsidP="005C7579">
      <w:pPr>
        <w:spacing w:after="120"/>
        <w:jc w:val="both"/>
        <w:rPr>
          <w:rFonts w:asciiTheme="minorHAnsi" w:eastAsiaTheme="majorEastAsia" w:hAnsiTheme="minorHAnsi" w:cstheme="majorBidi"/>
          <w:sz w:val="22"/>
          <w:szCs w:val="22"/>
        </w:rPr>
      </w:pPr>
      <w:r w:rsidRPr="00B416F3">
        <w:rPr>
          <w:rFonts w:asciiTheme="minorHAnsi" w:eastAsiaTheme="majorEastAsia" w:hAnsiTheme="minorHAnsi" w:cstheme="majorBidi"/>
          <w:sz w:val="22"/>
          <w:szCs w:val="22"/>
        </w:rPr>
        <w:t xml:space="preserve">V oblasti vzdělávání a podpory vědy a výzkumu byla jedním z důležitých </w:t>
      </w:r>
      <w:r w:rsidR="00061085" w:rsidRPr="00B416F3">
        <w:rPr>
          <w:rFonts w:asciiTheme="minorHAnsi" w:eastAsiaTheme="majorEastAsia" w:hAnsiTheme="minorHAnsi" w:cstheme="majorBidi"/>
          <w:sz w:val="22"/>
          <w:szCs w:val="22"/>
        </w:rPr>
        <w:t>nástrojů</w:t>
      </w:r>
      <w:r w:rsidRPr="00B416F3">
        <w:rPr>
          <w:rFonts w:asciiTheme="minorHAnsi" w:eastAsiaTheme="majorEastAsia" w:hAnsiTheme="minorHAnsi" w:cstheme="majorBidi"/>
          <w:sz w:val="22"/>
          <w:szCs w:val="22"/>
        </w:rPr>
        <w:t xml:space="preserve"> příprava nového programu strategicky usměrňované podpory výzkumných projektů v oblasti energetiky. V tomto ohledu byl připraven </w:t>
      </w:r>
      <w:r w:rsidR="00B71D4F" w:rsidRPr="00B416F3">
        <w:rPr>
          <w:rFonts w:asciiTheme="minorHAnsi" w:eastAsiaTheme="majorEastAsia" w:hAnsiTheme="minorHAnsi" w:cstheme="majorBidi"/>
          <w:sz w:val="22"/>
          <w:szCs w:val="22"/>
        </w:rPr>
        <w:t>a usnesením vlády ČR č. 1 173 ze dne 19. prosince 2016 schválen Program na podporu aplikovaného výzkumu, experimentálního vývoje a inovací THÉTA</w:t>
      </w:r>
      <w:r w:rsidRPr="00B416F3">
        <w:rPr>
          <w:rFonts w:asciiTheme="minorHAnsi" w:eastAsiaTheme="majorEastAsia" w:hAnsiTheme="minorHAnsi" w:cstheme="majorBidi"/>
          <w:sz w:val="22"/>
          <w:szCs w:val="22"/>
        </w:rPr>
        <w:t>. V oblasti iniciace jednání subjektů působících v sektoru energetiky se zástupci technických fakult vysokých škol, v rámci podpory technických a přírodovědných oborů, byly podniknuty potřebné kroky</w:t>
      </w:r>
      <w:r w:rsidR="00061085" w:rsidRPr="00B416F3">
        <w:rPr>
          <w:rFonts w:asciiTheme="minorHAnsi" w:eastAsiaTheme="majorEastAsia" w:hAnsiTheme="minorHAnsi" w:cstheme="majorBidi"/>
          <w:sz w:val="22"/>
          <w:szCs w:val="22"/>
        </w:rPr>
        <w:t>,</w:t>
      </w:r>
      <w:r w:rsidRPr="00B416F3">
        <w:rPr>
          <w:rFonts w:asciiTheme="minorHAnsi" w:eastAsiaTheme="majorEastAsia" w:hAnsiTheme="minorHAnsi" w:cstheme="majorBidi"/>
          <w:sz w:val="22"/>
          <w:szCs w:val="22"/>
        </w:rPr>
        <w:t xml:space="preserve"> a </w:t>
      </w:r>
      <w:r w:rsidR="00061085" w:rsidRPr="00B416F3">
        <w:rPr>
          <w:rFonts w:asciiTheme="minorHAnsi" w:eastAsiaTheme="majorEastAsia" w:hAnsiTheme="minorHAnsi" w:cstheme="majorBidi"/>
          <w:sz w:val="22"/>
          <w:szCs w:val="22"/>
        </w:rPr>
        <w:t>tento nástroj</w:t>
      </w:r>
      <w:r w:rsidRPr="00B416F3">
        <w:rPr>
          <w:rFonts w:asciiTheme="minorHAnsi" w:eastAsiaTheme="majorEastAsia" w:hAnsiTheme="minorHAnsi" w:cstheme="majorBidi"/>
          <w:sz w:val="22"/>
          <w:szCs w:val="22"/>
        </w:rPr>
        <w:t xml:space="preserve"> je </w:t>
      </w:r>
      <w:r w:rsidR="00061085" w:rsidRPr="00B416F3">
        <w:rPr>
          <w:rFonts w:asciiTheme="minorHAnsi" w:eastAsiaTheme="majorEastAsia" w:hAnsiTheme="minorHAnsi" w:cstheme="majorBidi"/>
          <w:sz w:val="22"/>
          <w:szCs w:val="22"/>
        </w:rPr>
        <w:t xml:space="preserve">tak </w:t>
      </w:r>
      <w:r w:rsidRPr="00B416F3">
        <w:rPr>
          <w:rFonts w:asciiTheme="minorHAnsi" w:eastAsiaTheme="majorEastAsia" w:hAnsiTheme="minorHAnsi" w:cstheme="majorBidi"/>
          <w:sz w:val="22"/>
          <w:szCs w:val="22"/>
        </w:rPr>
        <w:t xml:space="preserve">možné považovat za splněný. Co se týče </w:t>
      </w:r>
      <w:r w:rsidR="00061085" w:rsidRPr="00B416F3">
        <w:rPr>
          <w:rFonts w:asciiTheme="minorHAnsi" w:eastAsiaTheme="majorEastAsia" w:hAnsiTheme="minorHAnsi" w:cstheme="majorBidi"/>
          <w:sz w:val="22"/>
          <w:szCs w:val="22"/>
        </w:rPr>
        <w:t>nástroje</w:t>
      </w:r>
      <w:r w:rsidRPr="00B416F3">
        <w:rPr>
          <w:rFonts w:asciiTheme="minorHAnsi" w:eastAsiaTheme="majorEastAsia" w:hAnsiTheme="minorHAnsi" w:cstheme="majorBidi"/>
          <w:sz w:val="22"/>
          <w:szCs w:val="22"/>
        </w:rPr>
        <w:t xml:space="preserve"> zajištění podpory společným výzkumným projektům českých a zahraničních výzkumných ústavů, vysokých škol a firem je možné konstatovat, že </w:t>
      </w:r>
      <w:r w:rsidR="00061085" w:rsidRPr="00B416F3">
        <w:rPr>
          <w:rFonts w:asciiTheme="minorHAnsi" w:eastAsiaTheme="majorEastAsia" w:hAnsiTheme="minorHAnsi" w:cstheme="majorBidi"/>
          <w:sz w:val="22"/>
          <w:szCs w:val="22"/>
        </w:rPr>
        <w:t>tento nástroj</w:t>
      </w:r>
      <w:r w:rsidRPr="00B416F3">
        <w:rPr>
          <w:rFonts w:asciiTheme="minorHAnsi" w:eastAsiaTheme="majorEastAsia" w:hAnsiTheme="minorHAnsi" w:cstheme="majorBidi"/>
          <w:sz w:val="22"/>
          <w:szCs w:val="22"/>
        </w:rPr>
        <w:t xml:space="preserve"> je plněn průběžně.</w:t>
      </w:r>
    </w:p>
    <w:p w14:paraId="13838218" w14:textId="70AB78C0" w:rsidR="005C7579" w:rsidRPr="003503F9" w:rsidRDefault="005C7579" w:rsidP="005C7579">
      <w:pPr>
        <w:spacing w:after="120"/>
        <w:jc w:val="both"/>
        <w:rPr>
          <w:rFonts w:asciiTheme="minorHAnsi" w:eastAsiaTheme="majorEastAsia" w:hAnsiTheme="minorHAnsi" w:cstheme="majorBidi"/>
          <w:sz w:val="22"/>
          <w:szCs w:val="22"/>
        </w:rPr>
      </w:pPr>
      <w:r w:rsidRPr="00B416F3">
        <w:rPr>
          <w:rFonts w:asciiTheme="minorHAnsi" w:eastAsiaTheme="majorEastAsia" w:hAnsiTheme="minorHAnsi" w:cstheme="majorBidi"/>
          <w:sz w:val="22"/>
          <w:szCs w:val="22"/>
        </w:rPr>
        <w:t>V oblasti výkonu vlastnických práv státu k energetickým společnostem lze uvést, že vytyčené úkoly jsou plněny, a to jak z hlediska působnosti MPO, které vykonává právo hospodařit s majetkovou účastí státu v akciových společnostech ČEPS, a.s., a OTE, a.s., tak z hlediska působnosti MF, které vykonává akcionářská práva ve společnostech ČEZ, a.s., MERO ČR, a.s., a ČEPRO, a.s. Tyto úkoly jsou s</w:t>
      </w:r>
      <w:r w:rsidR="00374C69" w:rsidRPr="00B416F3">
        <w:rPr>
          <w:rFonts w:asciiTheme="minorHAnsi" w:eastAsiaTheme="majorEastAsia" w:hAnsiTheme="minorHAnsi" w:cstheme="majorBidi"/>
          <w:sz w:val="22"/>
          <w:szCs w:val="22"/>
        </w:rPr>
        <w:t> </w:t>
      </w:r>
      <w:r w:rsidRPr="00B416F3">
        <w:rPr>
          <w:rFonts w:asciiTheme="minorHAnsi" w:eastAsiaTheme="majorEastAsia" w:hAnsiTheme="minorHAnsi" w:cstheme="majorBidi"/>
          <w:sz w:val="22"/>
          <w:szCs w:val="22"/>
        </w:rPr>
        <w:t xml:space="preserve">přihlédnutím k jejich charakteru </w:t>
      </w:r>
      <w:r w:rsidRPr="003503F9">
        <w:rPr>
          <w:rFonts w:asciiTheme="minorHAnsi" w:eastAsiaTheme="majorEastAsia" w:hAnsiTheme="minorHAnsi" w:cstheme="majorBidi"/>
          <w:sz w:val="22"/>
          <w:szCs w:val="22"/>
        </w:rPr>
        <w:t xml:space="preserve">plněny </w:t>
      </w:r>
      <w:r w:rsidR="00691EAB" w:rsidRPr="003503F9">
        <w:rPr>
          <w:rFonts w:asciiTheme="minorHAnsi" w:eastAsiaTheme="majorEastAsia" w:hAnsiTheme="minorHAnsi" w:cstheme="majorBidi"/>
          <w:sz w:val="22"/>
          <w:szCs w:val="22"/>
        </w:rPr>
        <w:t xml:space="preserve">také </w:t>
      </w:r>
      <w:r w:rsidRPr="003503F9">
        <w:rPr>
          <w:rFonts w:asciiTheme="minorHAnsi" w:eastAsiaTheme="majorEastAsia" w:hAnsiTheme="minorHAnsi" w:cstheme="majorBidi"/>
          <w:sz w:val="22"/>
          <w:szCs w:val="22"/>
        </w:rPr>
        <w:t>průběžně, což je zajištěno i pro následující období.</w:t>
      </w:r>
    </w:p>
    <w:p w14:paraId="56B02011" w14:textId="77777777" w:rsidR="006927D5" w:rsidRPr="003503F9" w:rsidRDefault="005C7579" w:rsidP="005C7579">
      <w:pPr>
        <w:spacing w:after="120"/>
        <w:jc w:val="both"/>
        <w:rPr>
          <w:rFonts w:asciiTheme="minorHAnsi" w:eastAsiaTheme="majorEastAsia" w:hAnsiTheme="minorHAnsi" w:cstheme="majorBidi"/>
          <w:sz w:val="22"/>
          <w:szCs w:val="22"/>
        </w:rPr>
      </w:pPr>
      <w:r w:rsidRPr="003503F9">
        <w:rPr>
          <w:rFonts w:asciiTheme="minorHAnsi" w:eastAsiaTheme="majorEastAsia" w:hAnsiTheme="minorHAnsi" w:cstheme="majorBidi"/>
          <w:sz w:val="22"/>
          <w:szCs w:val="22"/>
        </w:rPr>
        <w:t>V oblasti komunikace a medializace byly splněny úkoly související se zveřejněním všech analytických materiálů ke Státní energetické koncepci ČR, komunikací témat energetické strategie a s působností vysokých škol. Předmětem řešení v této oblasti zůstává pouze pr</w:t>
      </w:r>
      <w:r w:rsidR="006927D5" w:rsidRPr="003503F9">
        <w:rPr>
          <w:rFonts w:asciiTheme="minorHAnsi" w:eastAsiaTheme="majorEastAsia" w:hAnsiTheme="minorHAnsi" w:cstheme="majorBidi"/>
          <w:sz w:val="22"/>
          <w:szCs w:val="22"/>
        </w:rPr>
        <w:t>oblematika zařazení informace o </w:t>
      </w:r>
      <w:r w:rsidRPr="003503F9">
        <w:rPr>
          <w:rFonts w:asciiTheme="minorHAnsi" w:eastAsiaTheme="majorEastAsia" w:hAnsiTheme="minorHAnsi" w:cstheme="majorBidi"/>
          <w:sz w:val="22"/>
          <w:szCs w:val="22"/>
        </w:rPr>
        <w:t>energetice a energetické strategii do rámcových vzdělávacích programů středních škol.</w:t>
      </w:r>
    </w:p>
    <w:p w14:paraId="5DB3BDFB" w14:textId="385C2FF7" w:rsidR="001E07D3" w:rsidRPr="001E07D3" w:rsidRDefault="006927D5" w:rsidP="00D64751">
      <w:pPr>
        <w:spacing w:after="120"/>
        <w:jc w:val="both"/>
        <w:rPr>
          <w:rFonts w:asciiTheme="minorHAnsi" w:eastAsiaTheme="majorEastAsia" w:hAnsiTheme="minorHAnsi" w:cstheme="majorBidi"/>
          <w:sz w:val="22"/>
          <w:szCs w:val="22"/>
        </w:rPr>
      </w:pPr>
      <w:r w:rsidRPr="00C65A61">
        <w:rPr>
          <w:rFonts w:asciiTheme="minorHAnsi" w:eastAsiaTheme="majorEastAsia" w:hAnsiTheme="minorHAnsi" w:cstheme="majorBidi"/>
          <w:sz w:val="22"/>
          <w:szCs w:val="22"/>
        </w:rPr>
        <w:t xml:space="preserve">Na základě vyhodnocení stavu a způsobu plnění jednotlivých nástrojů Státní energetické koncepce ČR je možné konstatovat, že dochází k postupné implementaci opatření, která směřují k naplnění cílů tohoto strategického dokumentu. Přestože u některých úkolů dochází ke zpoždění jejich plnění, nebo došlo </w:t>
      </w:r>
      <w:r w:rsidR="007E0BCD" w:rsidRPr="00C65A61">
        <w:rPr>
          <w:rFonts w:asciiTheme="minorHAnsi" w:eastAsiaTheme="majorEastAsia" w:hAnsiTheme="minorHAnsi" w:cstheme="majorBidi"/>
          <w:sz w:val="22"/>
          <w:szCs w:val="22"/>
        </w:rPr>
        <w:t xml:space="preserve">zatím </w:t>
      </w:r>
      <w:r w:rsidRPr="00C65A61">
        <w:rPr>
          <w:rFonts w:asciiTheme="minorHAnsi" w:eastAsiaTheme="majorEastAsia" w:hAnsiTheme="minorHAnsi" w:cstheme="majorBidi"/>
          <w:sz w:val="22"/>
          <w:szCs w:val="22"/>
        </w:rPr>
        <w:t xml:space="preserve">pouze k jejich dílčímu splnění, je třeba zdůraznit, že z tohoto pohledu nebyly zjištěny </w:t>
      </w:r>
      <w:r w:rsidRPr="00E2556D">
        <w:rPr>
          <w:rFonts w:asciiTheme="minorHAnsi" w:eastAsiaTheme="majorEastAsia" w:hAnsiTheme="minorHAnsi" w:cstheme="majorBidi"/>
          <w:sz w:val="22"/>
          <w:szCs w:val="22"/>
        </w:rPr>
        <w:t>důvody, které by vedly k nutnosti tyto nástroje v současné době upravovat.</w:t>
      </w:r>
      <w:r w:rsidR="001E07D3" w:rsidRPr="001E07D3">
        <w:rPr>
          <w:rFonts w:asciiTheme="minorHAnsi" w:eastAsiaTheme="majorEastAsia" w:hAnsiTheme="minorHAnsi" w:cstheme="majorBidi"/>
          <w:sz w:val="22"/>
          <w:szCs w:val="22"/>
        </w:rPr>
        <w:br w:type="page"/>
      </w:r>
    </w:p>
    <w:p w14:paraId="5BF3A4C2" w14:textId="45CCD27C" w:rsidR="00274821" w:rsidRPr="00C65A61" w:rsidRDefault="00274821" w:rsidP="006E05C2">
      <w:pPr>
        <w:pStyle w:val="Nadpis1"/>
      </w:pPr>
      <w:bookmarkStart w:id="2" w:name="_Toc498509190"/>
      <w:r w:rsidRPr="00C65A61">
        <w:lastRenderedPageBreak/>
        <w:t>Důvody předložení materiálu</w:t>
      </w:r>
      <w:bookmarkEnd w:id="2"/>
    </w:p>
    <w:p w14:paraId="2D04893C" w14:textId="5BA2842A" w:rsidR="00274821" w:rsidRPr="00C65A61" w:rsidRDefault="00274821" w:rsidP="002253F4">
      <w:pPr>
        <w:spacing w:after="120"/>
        <w:jc w:val="both"/>
        <w:rPr>
          <w:rFonts w:asciiTheme="minorHAnsi" w:hAnsiTheme="minorHAnsi" w:cs="Arial"/>
          <w:color w:val="FF0000"/>
          <w:sz w:val="22"/>
          <w:szCs w:val="22"/>
        </w:rPr>
      </w:pPr>
      <w:r w:rsidRPr="00C65A61">
        <w:rPr>
          <w:rFonts w:asciiTheme="minorHAnsi" w:hAnsiTheme="minorHAnsi" w:cs="Arial"/>
          <w:sz w:val="22"/>
          <w:szCs w:val="22"/>
        </w:rPr>
        <w:t xml:space="preserve">Materiál „Zpráva o plnění </w:t>
      </w:r>
      <w:r w:rsidR="002E4D72" w:rsidRPr="00C65A61">
        <w:rPr>
          <w:rFonts w:asciiTheme="minorHAnsi" w:hAnsiTheme="minorHAnsi" w:cs="Arial"/>
          <w:sz w:val="22"/>
          <w:szCs w:val="22"/>
        </w:rPr>
        <w:t>nástrojů</w:t>
      </w:r>
      <w:r w:rsidRPr="00C65A61">
        <w:rPr>
          <w:rFonts w:asciiTheme="minorHAnsi" w:hAnsiTheme="minorHAnsi" w:cs="Arial"/>
          <w:sz w:val="22"/>
          <w:szCs w:val="22"/>
        </w:rPr>
        <w:t xml:space="preserve"> Státní energetické koncepce ČR</w:t>
      </w:r>
      <w:r w:rsidR="002E4D72" w:rsidRPr="00C65A61">
        <w:rPr>
          <w:rFonts w:asciiTheme="minorHAnsi" w:hAnsiTheme="minorHAnsi" w:cs="Arial"/>
          <w:sz w:val="22"/>
          <w:szCs w:val="22"/>
        </w:rPr>
        <w:t xml:space="preserve"> do roku 201</w:t>
      </w:r>
      <w:r w:rsidR="00744ACF">
        <w:rPr>
          <w:rFonts w:asciiTheme="minorHAnsi" w:hAnsiTheme="minorHAnsi" w:cs="Arial"/>
          <w:sz w:val="22"/>
          <w:szCs w:val="22"/>
        </w:rPr>
        <w:t>8</w:t>
      </w:r>
      <w:r w:rsidRPr="00C65A61">
        <w:rPr>
          <w:rFonts w:asciiTheme="minorHAnsi" w:hAnsiTheme="minorHAnsi" w:cs="Arial"/>
          <w:sz w:val="22"/>
          <w:szCs w:val="22"/>
        </w:rPr>
        <w:t xml:space="preserve">“ je předkládán pro informaci členům vlády ČR na základě </w:t>
      </w:r>
      <w:r w:rsidR="006B0EF1">
        <w:rPr>
          <w:rFonts w:asciiTheme="minorHAnsi" w:hAnsiTheme="minorHAnsi" w:cs="Arial"/>
          <w:sz w:val="22"/>
          <w:szCs w:val="22"/>
        </w:rPr>
        <w:t xml:space="preserve">jejího </w:t>
      </w:r>
      <w:r w:rsidRPr="00C65A61">
        <w:rPr>
          <w:rFonts w:asciiTheme="minorHAnsi" w:hAnsiTheme="minorHAnsi" w:cs="Arial"/>
          <w:sz w:val="22"/>
          <w:szCs w:val="22"/>
        </w:rPr>
        <w:t>usnesení č. 827 ze dne 19. října 2015</w:t>
      </w:r>
      <w:r w:rsidR="00374C69" w:rsidRPr="00C65A61">
        <w:rPr>
          <w:rFonts w:asciiTheme="minorHAnsi" w:hAnsiTheme="minorHAnsi" w:cs="Arial"/>
          <w:sz w:val="22"/>
          <w:szCs w:val="22"/>
        </w:rPr>
        <w:t>,</w:t>
      </w:r>
      <w:r w:rsidRPr="00C65A61">
        <w:rPr>
          <w:rFonts w:asciiTheme="minorHAnsi" w:hAnsiTheme="minorHAnsi" w:cs="Arial"/>
          <w:sz w:val="22"/>
          <w:szCs w:val="22"/>
        </w:rPr>
        <w:t xml:space="preserve"> k řešení dalšího postupu územně ekologických limitů těžby hnědého uhlí v severních Čechách. V tomto usnesení je ministrovi průmyslu a obchodu uloženo předložit vládě do 31. prosince každoročně v letech 2016 </w:t>
      </w:r>
      <w:r w:rsidR="002E4D72" w:rsidRPr="00C65A61">
        <w:rPr>
          <w:rFonts w:asciiTheme="minorHAnsi" w:hAnsiTheme="minorHAnsi" w:cs="Arial"/>
          <w:sz w:val="22"/>
          <w:szCs w:val="22"/>
        </w:rPr>
        <w:t>až</w:t>
      </w:r>
      <w:r w:rsidRPr="00C65A61">
        <w:rPr>
          <w:rFonts w:asciiTheme="minorHAnsi" w:hAnsiTheme="minorHAnsi" w:cs="Arial"/>
          <w:sz w:val="22"/>
          <w:szCs w:val="22"/>
        </w:rPr>
        <w:t xml:space="preserve"> 2020 vyhodnocení plnění cílů a opatření Státní energetické koncepce. </w:t>
      </w:r>
      <w:r w:rsidR="006E05C2" w:rsidRPr="00C65A61">
        <w:rPr>
          <w:rFonts w:asciiTheme="minorHAnsi" w:hAnsiTheme="minorHAnsi" w:cs="Arial"/>
          <w:sz w:val="22"/>
          <w:szCs w:val="22"/>
        </w:rPr>
        <w:t>Tato informativní zpráva byla mimo jiné vytvořena v reakci na</w:t>
      </w:r>
      <w:r w:rsidRPr="00C65A61">
        <w:rPr>
          <w:rFonts w:asciiTheme="minorHAnsi" w:hAnsiTheme="minorHAnsi" w:cs="Arial"/>
          <w:sz w:val="22"/>
          <w:szCs w:val="22"/>
        </w:rPr>
        <w:t xml:space="preserve"> dynamický vývoj v oblasti tuzemské energetiky i související legislativy v kontextu evropského i světového vývoje </w:t>
      </w:r>
      <w:r w:rsidR="006E05C2" w:rsidRPr="00C65A61">
        <w:rPr>
          <w:rFonts w:asciiTheme="minorHAnsi" w:hAnsiTheme="minorHAnsi" w:cs="Arial"/>
          <w:sz w:val="22"/>
          <w:szCs w:val="22"/>
        </w:rPr>
        <w:t>energetického sektoru.</w:t>
      </w:r>
      <w:r w:rsidRPr="00C65A61">
        <w:rPr>
          <w:rFonts w:asciiTheme="minorHAnsi" w:hAnsiTheme="minorHAnsi" w:cs="Arial"/>
          <w:sz w:val="22"/>
          <w:szCs w:val="22"/>
        </w:rPr>
        <w:t xml:space="preserve"> </w:t>
      </w:r>
      <w:r w:rsidR="006E05C2" w:rsidRPr="00C65A61">
        <w:rPr>
          <w:rFonts w:asciiTheme="minorHAnsi" w:hAnsiTheme="minorHAnsi" w:cs="Arial"/>
          <w:sz w:val="22"/>
          <w:szCs w:val="22"/>
        </w:rPr>
        <w:t>Dokument</w:t>
      </w:r>
      <w:r w:rsidR="002E4D72" w:rsidRPr="00C65A61">
        <w:rPr>
          <w:rFonts w:asciiTheme="minorHAnsi" w:hAnsiTheme="minorHAnsi" w:cs="Arial"/>
          <w:sz w:val="22"/>
          <w:szCs w:val="22"/>
        </w:rPr>
        <w:t xml:space="preserve"> obsahuje detailní informace o </w:t>
      </w:r>
      <w:r w:rsidRPr="00C65A61">
        <w:rPr>
          <w:rFonts w:asciiTheme="minorHAnsi" w:hAnsiTheme="minorHAnsi" w:cs="Arial"/>
          <w:sz w:val="22"/>
          <w:szCs w:val="22"/>
        </w:rPr>
        <w:t xml:space="preserve">plnění </w:t>
      </w:r>
      <w:r w:rsidR="002E4D72" w:rsidRPr="00C65A61">
        <w:rPr>
          <w:rFonts w:asciiTheme="minorHAnsi" w:hAnsiTheme="minorHAnsi" w:cs="Arial"/>
          <w:sz w:val="22"/>
          <w:szCs w:val="22"/>
        </w:rPr>
        <w:t>všech nástrojů</w:t>
      </w:r>
      <w:r w:rsidRPr="00C65A61">
        <w:rPr>
          <w:rFonts w:asciiTheme="minorHAnsi" w:hAnsiTheme="minorHAnsi" w:cs="Arial"/>
          <w:sz w:val="22"/>
          <w:szCs w:val="22"/>
        </w:rPr>
        <w:t xml:space="preserve"> </w:t>
      </w:r>
      <w:r w:rsidR="002E4D72" w:rsidRPr="00C65A61">
        <w:rPr>
          <w:rFonts w:asciiTheme="minorHAnsi" w:hAnsiTheme="minorHAnsi" w:cs="Arial"/>
          <w:sz w:val="22"/>
          <w:szCs w:val="22"/>
        </w:rPr>
        <w:t>vymezených ve</w:t>
      </w:r>
      <w:r w:rsidRPr="00C65A61">
        <w:rPr>
          <w:rFonts w:asciiTheme="minorHAnsi" w:hAnsiTheme="minorHAnsi" w:cs="Arial"/>
          <w:sz w:val="22"/>
          <w:szCs w:val="22"/>
        </w:rPr>
        <w:t xml:space="preserve"> Státní energetické koncepc</w:t>
      </w:r>
      <w:r w:rsidR="002E4D72" w:rsidRPr="00C65A61">
        <w:rPr>
          <w:rFonts w:asciiTheme="minorHAnsi" w:hAnsiTheme="minorHAnsi" w:cs="Arial"/>
          <w:sz w:val="22"/>
          <w:szCs w:val="22"/>
        </w:rPr>
        <w:t>i ČR</w:t>
      </w:r>
      <w:r w:rsidRPr="00C65A61">
        <w:rPr>
          <w:rFonts w:asciiTheme="minorHAnsi" w:hAnsiTheme="minorHAnsi" w:cs="Arial"/>
          <w:sz w:val="22"/>
          <w:szCs w:val="22"/>
        </w:rPr>
        <w:t xml:space="preserve"> od jejího schválení vládou ČR </w:t>
      </w:r>
      <w:r w:rsidR="002E4D72" w:rsidRPr="00C65A61">
        <w:rPr>
          <w:rFonts w:asciiTheme="minorHAnsi" w:hAnsiTheme="minorHAnsi" w:cs="Arial"/>
          <w:sz w:val="22"/>
          <w:szCs w:val="22"/>
        </w:rPr>
        <w:t>v</w:t>
      </w:r>
      <w:r w:rsidR="00CE7E1D" w:rsidRPr="00C65A61">
        <w:rPr>
          <w:rFonts w:asciiTheme="minorHAnsi" w:hAnsiTheme="minorHAnsi" w:cs="Arial"/>
          <w:sz w:val="22"/>
          <w:szCs w:val="22"/>
        </w:rPr>
        <w:t> </w:t>
      </w:r>
      <w:r w:rsidR="002E4D72" w:rsidRPr="00C65A61">
        <w:rPr>
          <w:rFonts w:asciiTheme="minorHAnsi" w:hAnsiTheme="minorHAnsi" w:cs="Arial"/>
          <w:sz w:val="22"/>
          <w:szCs w:val="22"/>
        </w:rPr>
        <w:t>květnu 2015 do listopadu 201</w:t>
      </w:r>
      <w:r w:rsidR="00C65A61">
        <w:rPr>
          <w:rFonts w:asciiTheme="minorHAnsi" w:hAnsiTheme="minorHAnsi" w:cs="Arial"/>
          <w:sz w:val="22"/>
          <w:szCs w:val="22"/>
        </w:rPr>
        <w:t>8</w:t>
      </w:r>
      <w:r w:rsidR="002E4D72" w:rsidRPr="00C65A61">
        <w:rPr>
          <w:rFonts w:asciiTheme="minorHAnsi" w:hAnsiTheme="minorHAnsi" w:cs="Arial"/>
          <w:sz w:val="22"/>
          <w:szCs w:val="22"/>
        </w:rPr>
        <w:t>.</w:t>
      </w:r>
    </w:p>
    <w:p w14:paraId="221185B6" w14:textId="77777777" w:rsidR="00274821" w:rsidRPr="00C65A61" w:rsidRDefault="00274821" w:rsidP="006E05C2">
      <w:pPr>
        <w:pStyle w:val="Nadpis1"/>
      </w:pPr>
      <w:bookmarkStart w:id="3" w:name="_Toc498509191"/>
      <w:r w:rsidRPr="00C65A61">
        <w:t>Cíle Státní energetické koncepce</w:t>
      </w:r>
      <w:r w:rsidR="00B2037C" w:rsidRPr="00C65A61">
        <w:t xml:space="preserve"> ČR</w:t>
      </w:r>
      <w:r w:rsidRPr="00C65A61">
        <w:t xml:space="preserve"> a soubor nástrojů pro jej</w:t>
      </w:r>
      <w:r w:rsidR="00B2037C" w:rsidRPr="00C65A61">
        <w:t>ich na</w:t>
      </w:r>
      <w:r w:rsidRPr="00C65A61">
        <w:t>plnění</w:t>
      </w:r>
      <w:bookmarkEnd w:id="3"/>
    </w:p>
    <w:p w14:paraId="15435277" w14:textId="0739E91F" w:rsidR="00274821" w:rsidRPr="00C65A61" w:rsidRDefault="00274821" w:rsidP="002253F4">
      <w:pPr>
        <w:spacing w:after="120"/>
        <w:jc w:val="both"/>
        <w:rPr>
          <w:rFonts w:asciiTheme="minorHAnsi" w:hAnsiTheme="minorHAnsi" w:cs="Arial"/>
          <w:sz w:val="22"/>
          <w:szCs w:val="22"/>
        </w:rPr>
      </w:pPr>
      <w:r w:rsidRPr="00C65A61">
        <w:rPr>
          <w:rFonts w:asciiTheme="minorHAnsi" w:hAnsiTheme="minorHAnsi" w:cs="Arial"/>
          <w:sz w:val="22"/>
          <w:szCs w:val="22"/>
        </w:rPr>
        <w:t>Státní energetická koncepce</w:t>
      </w:r>
      <w:r w:rsidR="002E4D72" w:rsidRPr="00C65A61">
        <w:rPr>
          <w:rFonts w:asciiTheme="minorHAnsi" w:hAnsiTheme="minorHAnsi" w:cs="Arial"/>
          <w:sz w:val="22"/>
          <w:szCs w:val="22"/>
        </w:rPr>
        <w:t xml:space="preserve"> ČR</w:t>
      </w:r>
      <w:r w:rsidRPr="00C65A61">
        <w:rPr>
          <w:rFonts w:asciiTheme="minorHAnsi" w:hAnsiTheme="minorHAnsi" w:cs="Arial"/>
          <w:sz w:val="22"/>
          <w:szCs w:val="22"/>
        </w:rPr>
        <w:t xml:space="preserve"> byla vládou ČR schválena </w:t>
      </w:r>
      <w:r w:rsidR="002E4D72" w:rsidRPr="00C65A61">
        <w:rPr>
          <w:rFonts w:asciiTheme="minorHAnsi" w:hAnsiTheme="minorHAnsi" w:cs="Arial"/>
          <w:sz w:val="22"/>
          <w:szCs w:val="22"/>
        </w:rPr>
        <w:t xml:space="preserve">jejím </w:t>
      </w:r>
      <w:r w:rsidRPr="00C65A61">
        <w:rPr>
          <w:rFonts w:asciiTheme="minorHAnsi" w:hAnsiTheme="minorHAnsi" w:cs="Arial"/>
          <w:sz w:val="22"/>
          <w:szCs w:val="22"/>
        </w:rPr>
        <w:t xml:space="preserve">usnesením č. 362 ze dne 18. května 2015. Tento strategický dokument staví na přirozených komparativních výhodách ČR, které jsou dány </w:t>
      </w:r>
      <w:r w:rsidR="002E4D72" w:rsidRPr="00C65A61">
        <w:rPr>
          <w:rFonts w:asciiTheme="minorHAnsi" w:hAnsiTheme="minorHAnsi" w:cs="Arial"/>
          <w:sz w:val="22"/>
          <w:szCs w:val="22"/>
        </w:rPr>
        <w:t xml:space="preserve">především </w:t>
      </w:r>
      <w:r w:rsidRPr="00C65A61">
        <w:rPr>
          <w:rFonts w:asciiTheme="minorHAnsi" w:hAnsiTheme="minorHAnsi" w:cs="Arial"/>
          <w:sz w:val="22"/>
          <w:szCs w:val="22"/>
        </w:rPr>
        <w:t>možnostmi využívání jednotlivých druh</w:t>
      </w:r>
      <w:r w:rsidR="002E4D72" w:rsidRPr="00C65A61">
        <w:rPr>
          <w:rFonts w:asciiTheme="minorHAnsi" w:hAnsiTheme="minorHAnsi" w:cs="Arial"/>
          <w:sz w:val="22"/>
          <w:szCs w:val="22"/>
        </w:rPr>
        <w:t xml:space="preserve">ů energetických zdrojů s respektováním omezení v rámci přírodního potenciálu a také </w:t>
      </w:r>
      <w:r w:rsidRPr="00C65A61">
        <w:rPr>
          <w:rFonts w:asciiTheme="minorHAnsi" w:hAnsiTheme="minorHAnsi" w:cs="Arial"/>
          <w:sz w:val="22"/>
          <w:szCs w:val="22"/>
        </w:rPr>
        <w:t>ekonomický</w:t>
      </w:r>
      <w:r w:rsidR="002E4D72" w:rsidRPr="00C65A61">
        <w:rPr>
          <w:rFonts w:asciiTheme="minorHAnsi" w:hAnsiTheme="minorHAnsi" w:cs="Arial"/>
          <w:sz w:val="22"/>
          <w:szCs w:val="22"/>
        </w:rPr>
        <w:t>ch</w:t>
      </w:r>
      <w:r w:rsidRPr="00C65A61">
        <w:rPr>
          <w:rFonts w:asciiTheme="minorHAnsi" w:hAnsiTheme="minorHAnsi" w:cs="Arial"/>
          <w:sz w:val="22"/>
          <w:szCs w:val="22"/>
        </w:rPr>
        <w:t xml:space="preserve"> charakteristik státu. Hlavním posláním Státní energetické koncepce</w:t>
      </w:r>
      <w:r w:rsidR="002E4D72" w:rsidRPr="00C65A61">
        <w:rPr>
          <w:rFonts w:asciiTheme="minorHAnsi" w:hAnsiTheme="minorHAnsi" w:cs="Arial"/>
          <w:sz w:val="22"/>
          <w:szCs w:val="22"/>
        </w:rPr>
        <w:t xml:space="preserve"> ČR</w:t>
      </w:r>
      <w:r w:rsidRPr="00C65A61">
        <w:rPr>
          <w:rFonts w:asciiTheme="minorHAnsi" w:hAnsiTheme="minorHAnsi" w:cs="Arial"/>
          <w:sz w:val="22"/>
          <w:szCs w:val="22"/>
        </w:rPr>
        <w:t xml:space="preserve"> je zajistit spolehlivou, bezpečnou a k životnímu prostředí šetrnou dodávku energie pro potřeby obyvatelstva </w:t>
      </w:r>
      <w:r w:rsidR="002E4D72" w:rsidRPr="00C65A61">
        <w:rPr>
          <w:rFonts w:asciiTheme="minorHAnsi" w:hAnsiTheme="minorHAnsi" w:cs="Arial"/>
          <w:sz w:val="22"/>
          <w:szCs w:val="22"/>
        </w:rPr>
        <w:t xml:space="preserve">a ekonomiky ČR, a to </w:t>
      </w:r>
      <w:r w:rsidRPr="00C65A61">
        <w:rPr>
          <w:rFonts w:asciiTheme="minorHAnsi" w:hAnsiTheme="minorHAnsi" w:cs="Arial"/>
          <w:sz w:val="22"/>
          <w:szCs w:val="22"/>
        </w:rPr>
        <w:t>za konkurenceschopné a</w:t>
      </w:r>
      <w:r w:rsidR="002E4D72" w:rsidRPr="00C65A61">
        <w:rPr>
          <w:rFonts w:asciiTheme="minorHAnsi" w:hAnsiTheme="minorHAnsi" w:cs="Arial"/>
          <w:sz w:val="22"/>
          <w:szCs w:val="22"/>
        </w:rPr>
        <w:t xml:space="preserve"> sociálně </w:t>
      </w:r>
      <w:r w:rsidRPr="00C65A61">
        <w:rPr>
          <w:rFonts w:asciiTheme="minorHAnsi" w:hAnsiTheme="minorHAnsi" w:cs="Arial"/>
          <w:sz w:val="22"/>
          <w:szCs w:val="22"/>
        </w:rPr>
        <w:t>přijatelné ceny. Současně je jejím cílem zabezpečit nepřerušené dodávky energie v krizových situacích</w:t>
      </w:r>
      <w:r w:rsidR="002E4D72" w:rsidRPr="00C65A61">
        <w:rPr>
          <w:rFonts w:asciiTheme="minorHAnsi" w:hAnsiTheme="minorHAnsi" w:cs="Arial"/>
          <w:sz w:val="22"/>
          <w:szCs w:val="22"/>
        </w:rPr>
        <w:t>, a to</w:t>
      </w:r>
      <w:r w:rsidRPr="00C65A61">
        <w:rPr>
          <w:rFonts w:asciiTheme="minorHAnsi" w:hAnsiTheme="minorHAnsi" w:cs="Arial"/>
          <w:sz w:val="22"/>
          <w:szCs w:val="22"/>
        </w:rPr>
        <w:t xml:space="preserve"> v rozsahu nezbytném pro fungování nejdůležitějších složek státu a přežití obyvatelstva</w:t>
      </w:r>
      <w:r w:rsidR="002E4D72" w:rsidRPr="00C65A61">
        <w:rPr>
          <w:rFonts w:asciiTheme="minorHAnsi" w:hAnsiTheme="minorHAnsi" w:cs="Arial"/>
          <w:sz w:val="22"/>
          <w:szCs w:val="22"/>
        </w:rPr>
        <w:t>.</w:t>
      </w:r>
      <w:r w:rsidRPr="00C65A61">
        <w:rPr>
          <w:rFonts w:asciiTheme="minorHAnsi" w:hAnsiTheme="minorHAnsi" w:cs="Arial"/>
          <w:sz w:val="22"/>
          <w:szCs w:val="22"/>
        </w:rPr>
        <w:t xml:space="preserve"> </w:t>
      </w:r>
      <w:r w:rsidR="002E4D72" w:rsidRPr="00C65A61">
        <w:rPr>
          <w:rFonts w:asciiTheme="minorHAnsi" w:hAnsiTheme="minorHAnsi" w:cs="Arial"/>
          <w:sz w:val="22"/>
          <w:szCs w:val="22"/>
        </w:rPr>
        <w:t>V</w:t>
      </w:r>
      <w:r w:rsidRPr="00C65A61">
        <w:rPr>
          <w:rFonts w:asciiTheme="minorHAnsi" w:hAnsiTheme="minorHAnsi" w:cs="Arial"/>
          <w:sz w:val="22"/>
          <w:szCs w:val="22"/>
        </w:rPr>
        <w:t xml:space="preserve"> neposlední řadě </w:t>
      </w:r>
      <w:r w:rsidR="00617FAC" w:rsidRPr="00C65A61">
        <w:rPr>
          <w:rFonts w:asciiTheme="minorHAnsi" w:hAnsiTheme="minorHAnsi" w:cs="Arial"/>
          <w:sz w:val="22"/>
          <w:szCs w:val="22"/>
        </w:rPr>
        <w:t>je pak jejím cílem</w:t>
      </w:r>
      <w:r w:rsidRPr="00C65A61">
        <w:rPr>
          <w:rFonts w:asciiTheme="minorHAnsi" w:hAnsiTheme="minorHAnsi" w:cs="Arial"/>
          <w:sz w:val="22"/>
          <w:szCs w:val="22"/>
        </w:rPr>
        <w:t xml:space="preserve"> zajistit stabilní a předvídatelné podnikatelské prostředí</w:t>
      </w:r>
      <w:r w:rsidR="00617FAC" w:rsidRPr="00C65A61">
        <w:rPr>
          <w:rFonts w:asciiTheme="minorHAnsi" w:hAnsiTheme="minorHAnsi" w:cs="Arial"/>
          <w:sz w:val="22"/>
          <w:szCs w:val="22"/>
        </w:rPr>
        <w:t xml:space="preserve"> a</w:t>
      </w:r>
      <w:r w:rsidRPr="00C65A61">
        <w:rPr>
          <w:rFonts w:asciiTheme="minorHAnsi" w:hAnsiTheme="minorHAnsi" w:cs="Arial"/>
          <w:sz w:val="22"/>
          <w:szCs w:val="22"/>
        </w:rPr>
        <w:t xml:space="preserve"> efektivní </w:t>
      </w:r>
      <w:r w:rsidR="002E4D72" w:rsidRPr="00C65A61">
        <w:rPr>
          <w:rFonts w:asciiTheme="minorHAnsi" w:hAnsiTheme="minorHAnsi" w:cs="Arial"/>
          <w:sz w:val="22"/>
          <w:szCs w:val="22"/>
        </w:rPr>
        <w:t xml:space="preserve">fungování </w:t>
      </w:r>
      <w:r w:rsidRPr="00C65A61">
        <w:rPr>
          <w:rFonts w:asciiTheme="minorHAnsi" w:hAnsiTheme="minorHAnsi" w:cs="Arial"/>
          <w:sz w:val="22"/>
          <w:szCs w:val="22"/>
        </w:rPr>
        <w:t>státní správ</w:t>
      </w:r>
      <w:r w:rsidR="002E4D72" w:rsidRPr="00C65A61">
        <w:rPr>
          <w:rFonts w:asciiTheme="minorHAnsi" w:hAnsiTheme="minorHAnsi" w:cs="Arial"/>
          <w:sz w:val="22"/>
          <w:szCs w:val="22"/>
        </w:rPr>
        <w:t>y</w:t>
      </w:r>
      <w:r w:rsidR="00617FAC" w:rsidRPr="00C65A61">
        <w:rPr>
          <w:rFonts w:asciiTheme="minorHAnsi" w:hAnsiTheme="minorHAnsi" w:cs="Arial"/>
          <w:sz w:val="22"/>
          <w:szCs w:val="22"/>
        </w:rPr>
        <w:t xml:space="preserve"> pro energetiku</w:t>
      </w:r>
      <w:r w:rsidRPr="00C65A61">
        <w:rPr>
          <w:rFonts w:asciiTheme="minorHAnsi" w:hAnsiTheme="minorHAnsi" w:cs="Arial"/>
          <w:sz w:val="22"/>
          <w:szCs w:val="22"/>
        </w:rPr>
        <w:t xml:space="preserve"> a </w:t>
      </w:r>
      <w:r w:rsidR="00617FAC" w:rsidRPr="00C65A61">
        <w:rPr>
          <w:rFonts w:asciiTheme="minorHAnsi" w:hAnsiTheme="minorHAnsi" w:cs="Arial"/>
          <w:sz w:val="22"/>
          <w:szCs w:val="22"/>
        </w:rPr>
        <w:t xml:space="preserve">také </w:t>
      </w:r>
      <w:r w:rsidRPr="00C65A61">
        <w:rPr>
          <w:rFonts w:asciiTheme="minorHAnsi" w:hAnsiTheme="minorHAnsi" w:cs="Arial"/>
          <w:sz w:val="22"/>
          <w:szCs w:val="22"/>
        </w:rPr>
        <w:t>dostatečnou a bezpečnou energetickou infrastrukturu.</w:t>
      </w:r>
    </w:p>
    <w:p w14:paraId="52BF4D50" w14:textId="1A3B52C2" w:rsidR="00274821" w:rsidRPr="00C65A61" w:rsidRDefault="00274821" w:rsidP="002253F4">
      <w:pPr>
        <w:spacing w:after="120"/>
        <w:jc w:val="both"/>
        <w:rPr>
          <w:rFonts w:asciiTheme="minorHAnsi" w:hAnsiTheme="minorHAnsi" w:cs="Arial"/>
          <w:sz w:val="22"/>
          <w:szCs w:val="22"/>
        </w:rPr>
      </w:pPr>
      <w:r w:rsidRPr="00C65A61">
        <w:rPr>
          <w:rFonts w:asciiTheme="minorHAnsi" w:hAnsiTheme="minorHAnsi" w:cs="Arial"/>
          <w:sz w:val="22"/>
          <w:szCs w:val="22"/>
        </w:rPr>
        <w:t>K dosažení cílů Státní energetické koncepce</w:t>
      </w:r>
      <w:r w:rsidR="00617FAC" w:rsidRPr="00C65A61">
        <w:rPr>
          <w:rFonts w:asciiTheme="minorHAnsi" w:hAnsiTheme="minorHAnsi" w:cs="Arial"/>
          <w:sz w:val="22"/>
          <w:szCs w:val="22"/>
        </w:rPr>
        <w:t xml:space="preserve"> ČR</w:t>
      </w:r>
      <w:r w:rsidRPr="00C65A61">
        <w:rPr>
          <w:rFonts w:asciiTheme="minorHAnsi" w:hAnsiTheme="minorHAnsi" w:cs="Arial"/>
          <w:sz w:val="22"/>
          <w:szCs w:val="22"/>
        </w:rPr>
        <w:t xml:space="preserve"> byl jako její součást ustanoven soubor nástrojů. Tyto nástroje jsou členěny </w:t>
      </w:r>
      <w:r w:rsidR="00374C69" w:rsidRPr="00C65A61">
        <w:rPr>
          <w:rFonts w:asciiTheme="minorHAnsi" w:hAnsiTheme="minorHAnsi" w:cs="Arial"/>
          <w:sz w:val="22"/>
          <w:szCs w:val="22"/>
        </w:rPr>
        <w:t>do</w:t>
      </w:r>
      <w:r w:rsidRPr="00C65A61">
        <w:rPr>
          <w:rFonts w:asciiTheme="minorHAnsi" w:hAnsiTheme="minorHAnsi" w:cs="Arial"/>
          <w:sz w:val="22"/>
          <w:szCs w:val="22"/>
        </w:rPr>
        <w:t xml:space="preserve"> </w:t>
      </w:r>
      <w:r w:rsidR="00742E5C" w:rsidRPr="00C65A61">
        <w:rPr>
          <w:rFonts w:asciiTheme="minorHAnsi" w:hAnsiTheme="minorHAnsi" w:cs="Arial"/>
          <w:sz w:val="22"/>
          <w:szCs w:val="22"/>
        </w:rPr>
        <w:t>následujících šest</w:t>
      </w:r>
      <w:r w:rsidR="00374C69" w:rsidRPr="00C65A61">
        <w:rPr>
          <w:rFonts w:asciiTheme="minorHAnsi" w:hAnsiTheme="minorHAnsi" w:cs="Arial"/>
          <w:sz w:val="22"/>
          <w:szCs w:val="22"/>
        </w:rPr>
        <w:t>i</w:t>
      </w:r>
      <w:r w:rsidR="00742E5C" w:rsidRPr="00C65A61">
        <w:rPr>
          <w:rFonts w:asciiTheme="minorHAnsi" w:hAnsiTheme="minorHAnsi" w:cs="Arial"/>
          <w:sz w:val="22"/>
          <w:szCs w:val="22"/>
        </w:rPr>
        <w:t xml:space="preserve"> </w:t>
      </w:r>
      <w:r w:rsidRPr="00C65A61">
        <w:rPr>
          <w:rFonts w:asciiTheme="minorHAnsi" w:hAnsiTheme="minorHAnsi" w:cs="Arial"/>
          <w:sz w:val="22"/>
          <w:szCs w:val="22"/>
        </w:rPr>
        <w:t>oblast</w:t>
      </w:r>
      <w:r w:rsidR="00742E5C" w:rsidRPr="00C65A61">
        <w:rPr>
          <w:rFonts w:asciiTheme="minorHAnsi" w:hAnsiTheme="minorHAnsi" w:cs="Arial"/>
          <w:sz w:val="22"/>
          <w:szCs w:val="22"/>
        </w:rPr>
        <w:t>í:</w:t>
      </w:r>
      <w:r w:rsidRPr="00C65A61">
        <w:rPr>
          <w:rFonts w:asciiTheme="minorHAnsi" w:hAnsiTheme="minorHAnsi" w:cs="Arial"/>
          <w:sz w:val="22"/>
          <w:szCs w:val="22"/>
        </w:rPr>
        <w:t xml:space="preserve"> </w:t>
      </w:r>
      <w:r w:rsidR="00742E5C" w:rsidRPr="00C65A61">
        <w:rPr>
          <w:rFonts w:asciiTheme="minorHAnsi" w:hAnsiTheme="minorHAnsi" w:cs="Arial"/>
          <w:sz w:val="22"/>
          <w:szCs w:val="22"/>
        </w:rPr>
        <w:t xml:space="preserve">i) </w:t>
      </w:r>
      <w:r w:rsidRPr="00C65A61">
        <w:rPr>
          <w:rFonts w:asciiTheme="minorHAnsi" w:hAnsiTheme="minorHAnsi" w:cs="Arial"/>
          <w:sz w:val="22"/>
          <w:szCs w:val="22"/>
        </w:rPr>
        <w:t xml:space="preserve">legislativní, </w:t>
      </w:r>
      <w:proofErr w:type="spellStart"/>
      <w:r w:rsidR="00742E5C" w:rsidRPr="00C65A61">
        <w:rPr>
          <w:rFonts w:asciiTheme="minorHAnsi" w:hAnsiTheme="minorHAnsi" w:cs="Arial"/>
          <w:sz w:val="22"/>
          <w:szCs w:val="22"/>
        </w:rPr>
        <w:t>ii</w:t>
      </w:r>
      <w:proofErr w:type="spellEnd"/>
      <w:r w:rsidR="00742E5C" w:rsidRPr="00C65A61">
        <w:rPr>
          <w:rFonts w:asciiTheme="minorHAnsi" w:hAnsiTheme="minorHAnsi" w:cs="Arial"/>
          <w:sz w:val="22"/>
          <w:szCs w:val="22"/>
        </w:rPr>
        <w:t xml:space="preserve">) </w:t>
      </w:r>
      <w:r w:rsidRPr="00C65A61">
        <w:rPr>
          <w:rFonts w:asciiTheme="minorHAnsi" w:hAnsiTheme="minorHAnsi" w:cs="Arial"/>
          <w:sz w:val="22"/>
          <w:szCs w:val="22"/>
        </w:rPr>
        <w:t xml:space="preserve">výkonu státní správy, </w:t>
      </w:r>
      <w:proofErr w:type="spellStart"/>
      <w:r w:rsidR="00742E5C" w:rsidRPr="00C65A61">
        <w:rPr>
          <w:rFonts w:asciiTheme="minorHAnsi" w:hAnsiTheme="minorHAnsi" w:cs="Arial"/>
          <w:sz w:val="22"/>
          <w:szCs w:val="22"/>
        </w:rPr>
        <w:t>iii</w:t>
      </w:r>
      <w:proofErr w:type="spellEnd"/>
      <w:r w:rsidR="00742E5C" w:rsidRPr="00C65A61">
        <w:rPr>
          <w:rFonts w:asciiTheme="minorHAnsi" w:hAnsiTheme="minorHAnsi" w:cs="Arial"/>
          <w:sz w:val="22"/>
          <w:szCs w:val="22"/>
        </w:rPr>
        <w:t xml:space="preserve">) </w:t>
      </w:r>
      <w:r w:rsidR="00374C69" w:rsidRPr="00C65A61">
        <w:rPr>
          <w:rFonts w:asciiTheme="minorHAnsi" w:hAnsiTheme="minorHAnsi" w:cs="Arial"/>
          <w:sz w:val="22"/>
          <w:szCs w:val="22"/>
        </w:rPr>
        <w:t>fiskální a daňové</w:t>
      </w:r>
      <w:r w:rsidRPr="00C65A61">
        <w:rPr>
          <w:rFonts w:asciiTheme="minorHAnsi" w:hAnsiTheme="minorHAnsi" w:cs="Arial"/>
          <w:sz w:val="22"/>
          <w:szCs w:val="22"/>
        </w:rPr>
        <w:t xml:space="preserve">, </w:t>
      </w:r>
      <w:proofErr w:type="spellStart"/>
      <w:r w:rsidR="00742E5C" w:rsidRPr="00C65A61">
        <w:rPr>
          <w:rFonts w:asciiTheme="minorHAnsi" w:hAnsiTheme="minorHAnsi" w:cs="Arial"/>
          <w:sz w:val="22"/>
          <w:szCs w:val="22"/>
        </w:rPr>
        <w:t>iv</w:t>
      </w:r>
      <w:proofErr w:type="spellEnd"/>
      <w:r w:rsidR="00742E5C" w:rsidRPr="00C65A61">
        <w:rPr>
          <w:rFonts w:asciiTheme="minorHAnsi" w:hAnsiTheme="minorHAnsi" w:cs="Arial"/>
          <w:sz w:val="22"/>
          <w:szCs w:val="22"/>
        </w:rPr>
        <w:t xml:space="preserve">) </w:t>
      </w:r>
      <w:r w:rsidRPr="00C65A61">
        <w:rPr>
          <w:rFonts w:asciiTheme="minorHAnsi" w:hAnsiTheme="minorHAnsi" w:cs="Arial"/>
          <w:sz w:val="22"/>
          <w:szCs w:val="22"/>
        </w:rPr>
        <w:t>vzdělávání a</w:t>
      </w:r>
      <w:r w:rsidR="00617FAC" w:rsidRPr="00C65A61">
        <w:rPr>
          <w:rFonts w:asciiTheme="minorHAnsi" w:hAnsiTheme="minorHAnsi" w:cs="Arial"/>
          <w:sz w:val="22"/>
          <w:szCs w:val="22"/>
        </w:rPr>
        <w:t xml:space="preserve"> </w:t>
      </w:r>
      <w:r w:rsidRPr="00C65A61">
        <w:rPr>
          <w:rFonts w:asciiTheme="minorHAnsi" w:hAnsiTheme="minorHAnsi" w:cs="Arial"/>
          <w:sz w:val="22"/>
          <w:szCs w:val="22"/>
        </w:rPr>
        <w:t>podpory vědy a</w:t>
      </w:r>
      <w:r w:rsidR="00617FAC" w:rsidRPr="00C65A61">
        <w:rPr>
          <w:rFonts w:asciiTheme="minorHAnsi" w:hAnsiTheme="minorHAnsi" w:cs="Arial"/>
          <w:sz w:val="22"/>
          <w:szCs w:val="22"/>
        </w:rPr>
        <w:t xml:space="preserve"> </w:t>
      </w:r>
      <w:r w:rsidRPr="00C65A61">
        <w:rPr>
          <w:rFonts w:asciiTheme="minorHAnsi" w:hAnsiTheme="minorHAnsi" w:cs="Arial"/>
          <w:sz w:val="22"/>
          <w:szCs w:val="22"/>
        </w:rPr>
        <w:t xml:space="preserve">výzkumu, </w:t>
      </w:r>
      <w:r w:rsidR="00742E5C" w:rsidRPr="00C65A61">
        <w:rPr>
          <w:rFonts w:asciiTheme="minorHAnsi" w:hAnsiTheme="minorHAnsi" w:cs="Arial"/>
          <w:sz w:val="22"/>
          <w:szCs w:val="22"/>
        </w:rPr>
        <w:t xml:space="preserve">v) </w:t>
      </w:r>
      <w:r w:rsidR="00617FAC" w:rsidRPr="00C65A61">
        <w:rPr>
          <w:rFonts w:asciiTheme="minorHAnsi" w:hAnsiTheme="minorHAnsi" w:cs="Arial"/>
          <w:sz w:val="22"/>
          <w:szCs w:val="22"/>
        </w:rPr>
        <w:t>výkonu vlastnických práv státu k</w:t>
      </w:r>
      <w:r w:rsidR="00742E5C" w:rsidRPr="00C65A61">
        <w:rPr>
          <w:rFonts w:asciiTheme="minorHAnsi" w:hAnsiTheme="minorHAnsi" w:cs="Arial"/>
          <w:sz w:val="22"/>
          <w:szCs w:val="22"/>
        </w:rPr>
        <w:t> </w:t>
      </w:r>
      <w:r w:rsidR="00617FAC" w:rsidRPr="00C65A61">
        <w:rPr>
          <w:rFonts w:asciiTheme="minorHAnsi" w:hAnsiTheme="minorHAnsi" w:cs="Arial"/>
          <w:sz w:val="22"/>
          <w:szCs w:val="22"/>
        </w:rPr>
        <w:t>energetickým společnostem s majetkovou účastí České republiky</w:t>
      </w:r>
      <w:r w:rsidRPr="00C65A61">
        <w:rPr>
          <w:rFonts w:asciiTheme="minorHAnsi" w:hAnsiTheme="minorHAnsi" w:cs="Arial"/>
          <w:sz w:val="22"/>
          <w:szCs w:val="22"/>
        </w:rPr>
        <w:t xml:space="preserve"> a</w:t>
      </w:r>
      <w:r w:rsidR="00742E5C" w:rsidRPr="00C65A61">
        <w:rPr>
          <w:rFonts w:asciiTheme="minorHAnsi" w:hAnsiTheme="minorHAnsi" w:cs="Arial"/>
          <w:sz w:val="22"/>
          <w:szCs w:val="22"/>
        </w:rPr>
        <w:t xml:space="preserve"> </w:t>
      </w:r>
      <w:proofErr w:type="spellStart"/>
      <w:r w:rsidR="00742E5C" w:rsidRPr="00C65A61">
        <w:rPr>
          <w:rFonts w:asciiTheme="minorHAnsi" w:hAnsiTheme="minorHAnsi" w:cs="Arial"/>
          <w:sz w:val="22"/>
          <w:szCs w:val="22"/>
        </w:rPr>
        <w:t>vi</w:t>
      </w:r>
      <w:proofErr w:type="spellEnd"/>
      <w:r w:rsidR="00742E5C" w:rsidRPr="00C65A61">
        <w:rPr>
          <w:rFonts w:asciiTheme="minorHAnsi" w:hAnsiTheme="minorHAnsi" w:cs="Arial"/>
          <w:sz w:val="22"/>
          <w:szCs w:val="22"/>
        </w:rPr>
        <w:t>)</w:t>
      </w:r>
      <w:r w:rsidR="00617FAC" w:rsidRPr="00C65A61">
        <w:rPr>
          <w:rFonts w:asciiTheme="minorHAnsi" w:hAnsiTheme="minorHAnsi" w:cs="Arial"/>
          <w:sz w:val="22"/>
          <w:szCs w:val="22"/>
        </w:rPr>
        <w:t xml:space="preserve"> </w:t>
      </w:r>
      <w:r w:rsidRPr="00C65A61">
        <w:rPr>
          <w:rFonts w:asciiTheme="minorHAnsi" w:hAnsiTheme="minorHAnsi" w:cs="Arial"/>
          <w:sz w:val="22"/>
          <w:szCs w:val="22"/>
        </w:rPr>
        <w:t>komunikace a medializace.</w:t>
      </w:r>
    </w:p>
    <w:p w14:paraId="1005C4BE" w14:textId="77777777" w:rsidR="00274821" w:rsidRPr="00C65A61" w:rsidRDefault="00274821" w:rsidP="006E05C2">
      <w:pPr>
        <w:pStyle w:val="Nadpis1"/>
      </w:pPr>
      <w:bookmarkStart w:id="4" w:name="_Toc498509192"/>
      <w:r w:rsidRPr="00C65A61">
        <w:t xml:space="preserve">Obecný postup plnění </w:t>
      </w:r>
      <w:r w:rsidR="00B2037C" w:rsidRPr="00C65A61">
        <w:t>vymezených nástrojů</w:t>
      </w:r>
      <w:bookmarkEnd w:id="4"/>
    </w:p>
    <w:p w14:paraId="7D0B0E29" w14:textId="7CFCF291" w:rsidR="00B47965" w:rsidRPr="00C65A61" w:rsidRDefault="00274821" w:rsidP="002253F4">
      <w:pPr>
        <w:spacing w:after="120"/>
        <w:jc w:val="both"/>
        <w:rPr>
          <w:rFonts w:asciiTheme="minorHAnsi" w:hAnsiTheme="minorHAnsi" w:cs="Arial"/>
          <w:sz w:val="22"/>
          <w:szCs w:val="22"/>
        </w:rPr>
      </w:pPr>
      <w:r w:rsidRPr="00C65A61">
        <w:rPr>
          <w:rFonts w:asciiTheme="minorHAnsi" w:hAnsiTheme="minorHAnsi" w:cs="Arial"/>
          <w:sz w:val="22"/>
          <w:szCs w:val="22"/>
        </w:rPr>
        <w:t>V návaznosti na schválení dokumentu vládou ČR</w:t>
      </w:r>
      <w:r w:rsidR="00617FAC" w:rsidRPr="00C65A61">
        <w:rPr>
          <w:rFonts w:asciiTheme="minorHAnsi" w:hAnsiTheme="minorHAnsi" w:cs="Arial"/>
          <w:sz w:val="22"/>
          <w:szCs w:val="22"/>
        </w:rPr>
        <w:t xml:space="preserve"> byli Ministerstvem průmyslu a obchodu osloveni všichni gestoři, </w:t>
      </w:r>
      <w:proofErr w:type="spellStart"/>
      <w:r w:rsidR="00617FAC" w:rsidRPr="00C65A61">
        <w:rPr>
          <w:rFonts w:asciiTheme="minorHAnsi" w:hAnsiTheme="minorHAnsi" w:cs="Arial"/>
          <w:sz w:val="22"/>
          <w:szCs w:val="22"/>
        </w:rPr>
        <w:t>spolugestoři</w:t>
      </w:r>
      <w:proofErr w:type="spellEnd"/>
      <w:r w:rsidR="00617FAC" w:rsidRPr="00C65A61">
        <w:rPr>
          <w:rFonts w:asciiTheme="minorHAnsi" w:hAnsiTheme="minorHAnsi" w:cs="Arial"/>
          <w:sz w:val="22"/>
          <w:szCs w:val="22"/>
        </w:rPr>
        <w:t xml:space="preserve"> a všechny spolupracující subjekty se žádostí o poskytnutí informací </w:t>
      </w:r>
      <w:r w:rsidR="00DD46B3" w:rsidRPr="00C65A61">
        <w:rPr>
          <w:rFonts w:asciiTheme="minorHAnsi" w:hAnsiTheme="minorHAnsi" w:cs="Arial"/>
          <w:sz w:val="22"/>
          <w:szCs w:val="22"/>
        </w:rPr>
        <w:t>o</w:t>
      </w:r>
      <w:r w:rsidR="007D28DC" w:rsidRPr="00C65A61">
        <w:rPr>
          <w:rFonts w:asciiTheme="minorHAnsi" w:hAnsiTheme="minorHAnsi" w:cs="Arial"/>
          <w:sz w:val="22"/>
          <w:szCs w:val="22"/>
        </w:rPr>
        <w:t> </w:t>
      </w:r>
      <w:r w:rsidR="00617FAC" w:rsidRPr="00C65A61">
        <w:rPr>
          <w:rFonts w:asciiTheme="minorHAnsi" w:hAnsiTheme="minorHAnsi" w:cs="Arial"/>
          <w:sz w:val="22"/>
          <w:szCs w:val="22"/>
        </w:rPr>
        <w:t>stav</w:t>
      </w:r>
      <w:r w:rsidR="00DD46B3" w:rsidRPr="00C65A61">
        <w:rPr>
          <w:rFonts w:asciiTheme="minorHAnsi" w:hAnsiTheme="minorHAnsi" w:cs="Arial"/>
          <w:sz w:val="22"/>
          <w:szCs w:val="22"/>
        </w:rPr>
        <w:t>u</w:t>
      </w:r>
      <w:r w:rsidR="00617FAC" w:rsidRPr="00C65A61">
        <w:rPr>
          <w:rFonts w:asciiTheme="minorHAnsi" w:hAnsiTheme="minorHAnsi" w:cs="Arial"/>
          <w:sz w:val="22"/>
          <w:szCs w:val="22"/>
        </w:rPr>
        <w:t xml:space="preserve"> plnění daných nástrojů a </w:t>
      </w:r>
      <w:r w:rsidR="00DD46B3" w:rsidRPr="00C65A61">
        <w:rPr>
          <w:rFonts w:asciiTheme="minorHAnsi" w:hAnsiTheme="minorHAnsi" w:cs="Arial"/>
          <w:sz w:val="22"/>
          <w:szCs w:val="22"/>
        </w:rPr>
        <w:t xml:space="preserve">určení </w:t>
      </w:r>
      <w:r w:rsidR="00617FAC" w:rsidRPr="00C65A61">
        <w:rPr>
          <w:rFonts w:asciiTheme="minorHAnsi" w:hAnsiTheme="minorHAnsi" w:cs="Arial"/>
          <w:sz w:val="22"/>
          <w:szCs w:val="22"/>
        </w:rPr>
        <w:t>kontaktní</w:t>
      </w:r>
      <w:r w:rsidR="00DD46B3" w:rsidRPr="00C65A61">
        <w:rPr>
          <w:rFonts w:asciiTheme="minorHAnsi" w:hAnsiTheme="minorHAnsi" w:cs="Arial"/>
          <w:sz w:val="22"/>
          <w:szCs w:val="22"/>
        </w:rPr>
        <w:t>ch</w:t>
      </w:r>
      <w:r w:rsidR="00617FAC" w:rsidRPr="00C65A61">
        <w:rPr>
          <w:rFonts w:asciiTheme="minorHAnsi" w:hAnsiTheme="minorHAnsi" w:cs="Arial"/>
          <w:sz w:val="22"/>
          <w:szCs w:val="22"/>
        </w:rPr>
        <w:t xml:space="preserve"> osob, které jsou v rámci těchto subjektů jejich plněním pověřeny. Byl tak</w:t>
      </w:r>
      <w:r w:rsidRPr="00C65A61">
        <w:rPr>
          <w:rFonts w:asciiTheme="minorHAnsi" w:hAnsiTheme="minorHAnsi" w:cs="Arial"/>
          <w:sz w:val="22"/>
          <w:szCs w:val="22"/>
        </w:rPr>
        <w:t xml:space="preserve"> zahájen monitoring plnění nástrojů Státní energetické koncepce</w:t>
      </w:r>
      <w:r w:rsidR="00B47965" w:rsidRPr="00C65A61">
        <w:rPr>
          <w:rFonts w:asciiTheme="minorHAnsi" w:hAnsiTheme="minorHAnsi" w:cs="Arial"/>
          <w:sz w:val="22"/>
          <w:szCs w:val="22"/>
        </w:rPr>
        <w:t xml:space="preserve"> ČR. V roce 2016 pak došlo, během měsíců října a listopadu, k aktualizaci stavu plnění jednotlivých nástrojů na základě přímého oslovení dříve uvedených kontaktních osob, přičemž došlo také k aktualizaci těchto kontaktů v návaznosti na personální a další změny. Stejným způsobem</w:t>
      </w:r>
      <w:r w:rsidR="00691EAB" w:rsidRPr="00C65A61">
        <w:rPr>
          <w:rFonts w:asciiTheme="minorHAnsi" w:hAnsiTheme="minorHAnsi" w:cs="Arial"/>
          <w:sz w:val="22"/>
          <w:szCs w:val="22"/>
        </w:rPr>
        <w:t xml:space="preserve"> bylo postupováno i v </w:t>
      </w:r>
      <w:r w:rsidR="00C65A61" w:rsidRPr="00C65A61">
        <w:rPr>
          <w:rFonts w:asciiTheme="minorHAnsi" w:hAnsiTheme="minorHAnsi" w:cs="Arial"/>
          <w:sz w:val="22"/>
          <w:szCs w:val="22"/>
        </w:rPr>
        <w:t>letech</w:t>
      </w:r>
      <w:r w:rsidR="00691EAB" w:rsidRPr="00C65A61">
        <w:rPr>
          <w:rFonts w:asciiTheme="minorHAnsi" w:hAnsiTheme="minorHAnsi" w:cs="Arial"/>
          <w:sz w:val="22"/>
          <w:szCs w:val="22"/>
        </w:rPr>
        <w:t xml:space="preserve"> 2017</w:t>
      </w:r>
      <w:r w:rsidR="00C65A61" w:rsidRPr="00C65A61">
        <w:rPr>
          <w:rFonts w:asciiTheme="minorHAnsi" w:hAnsiTheme="minorHAnsi" w:cs="Arial"/>
          <w:sz w:val="22"/>
          <w:szCs w:val="22"/>
        </w:rPr>
        <w:t xml:space="preserve"> a 2018</w:t>
      </w:r>
      <w:r w:rsidR="00691EAB" w:rsidRPr="00C65A61">
        <w:rPr>
          <w:rFonts w:asciiTheme="minorHAnsi" w:hAnsiTheme="minorHAnsi" w:cs="Arial"/>
          <w:sz w:val="22"/>
          <w:szCs w:val="22"/>
        </w:rPr>
        <w:t xml:space="preserve"> a bude tak</w:t>
      </w:r>
      <w:r w:rsidR="00B47965" w:rsidRPr="00C65A61">
        <w:rPr>
          <w:rFonts w:asciiTheme="minorHAnsi" w:hAnsiTheme="minorHAnsi" w:cs="Arial"/>
          <w:sz w:val="22"/>
          <w:szCs w:val="22"/>
        </w:rPr>
        <w:t xml:space="preserve"> postupováno i</w:t>
      </w:r>
      <w:r w:rsidR="007D28DC" w:rsidRPr="00C65A61">
        <w:rPr>
          <w:rFonts w:asciiTheme="minorHAnsi" w:hAnsiTheme="minorHAnsi" w:cs="Arial"/>
          <w:sz w:val="22"/>
          <w:szCs w:val="22"/>
        </w:rPr>
        <w:t> </w:t>
      </w:r>
      <w:r w:rsidR="00B47965" w:rsidRPr="00C65A61">
        <w:rPr>
          <w:rFonts w:asciiTheme="minorHAnsi" w:hAnsiTheme="minorHAnsi" w:cs="Arial"/>
          <w:sz w:val="22"/>
          <w:szCs w:val="22"/>
        </w:rPr>
        <w:t>v budoucnu</w:t>
      </w:r>
      <w:r w:rsidR="00CD4F64">
        <w:rPr>
          <w:rStyle w:val="Znakapoznpodarou"/>
          <w:rFonts w:asciiTheme="minorHAnsi" w:hAnsiTheme="minorHAnsi" w:cs="Arial"/>
          <w:sz w:val="22"/>
          <w:szCs w:val="22"/>
        </w:rPr>
        <w:footnoteReference w:id="1"/>
      </w:r>
      <w:r w:rsidR="00B47965" w:rsidRPr="00C65A61">
        <w:rPr>
          <w:rFonts w:asciiTheme="minorHAnsi" w:hAnsiTheme="minorHAnsi" w:cs="Arial"/>
          <w:sz w:val="22"/>
          <w:szCs w:val="22"/>
        </w:rPr>
        <w:t>.</w:t>
      </w:r>
    </w:p>
    <w:p w14:paraId="3A832651" w14:textId="0B116752" w:rsidR="00B47965" w:rsidRPr="00C65A61" w:rsidRDefault="00B47965" w:rsidP="002253F4">
      <w:pPr>
        <w:spacing w:after="120"/>
        <w:jc w:val="both"/>
        <w:rPr>
          <w:rFonts w:asciiTheme="minorHAnsi" w:hAnsiTheme="minorHAnsi" w:cs="Arial"/>
          <w:sz w:val="22"/>
          <w:szCs w:val="22"/>
        </w:rPr>
      </w:pPr>
      <w:r w:rsidRPr="00C65A61">
        <w:rPr>
          <w:rFonts w:asciiTheme="minorHAnsi" w:hAnsiTheme="minorHAnsi" w:cs="Arial"/>
          <w:sz w:val="22"/>
          <w:szCs w:val="22"/>
        </w:rPr>
        <w:t>S ohledem na</w:t>
      </w:r>
      <w:r w:rsidR="00274821" w:rsidRPr="00C65A61">
        <w:rPr>
          <w:rFonts w:asciiTheme="minorHAnsi" w:hAnsiTheme="minorHAnsi" w:cs="Arial"/>
          <w:sz w:val="22"/>
          <w:szCs w:val="22"/>
        </w:rPr>
        <w:t> relativně velk</w:t>
      </w:r>
      <w:r w:rsidRPr="00C65A61">
        <w:rPr>
          <w:rFonts w:asciiTheme="minorHAnsi" w:hAnsiTheme="minorHAnsi" w:cs="Arial"/>
          <w:sz w:val="22"/>
          <w:szCs w:val="22"/>
        </w:rPr>
        <w:t xml:space="preserve">ou časovou </w:t>
      </w:r>
      <w:r w:rsidR="00274821" w:rsidRPr="00C65A61">
        <w:rPr>
          <w:rFonts w:asciiTheme="minorHAnsi" w:hAnsiTheme="minorHAnsi" w:cs="Arial"/>
          <w:sz w:val="22"/>
          <w:szCs w:val="22"/>
        </w:rPr>
        <w:t xml:space="preserve">náročnost přípravy </w:t>
      </w:r>
      <w:r w:rsidRPr="00C65A61">
        <w:rPr>
          <w:rFonts w:asciiTheme="minorHAnsi" w:hAnsiTheme="minorHAnsi" w:cs="Arial"/>
          <w:sz w:val="22"/>
          <w:szCs w:val="22"/>
        </w:rPr>
        <w:t>Státní energetické koncepce ČR</w:t>
      </w:r>
      <w:r w:rsidR="00274821" w:rsidRPr="00C65A61">
        <w:rPr>
          <w:rFonts w:asciiTheme="minorHAnsi" w:hAnsiTheme="minorHAnsi" w:cs="Arial"/>
          <w:sz w:val="22"/>
          <w:szCs w:val="22"/>
        </w:rPr>
        <w:t>, zejména pak ve vztahu k</w:t>
      </w:r>
      <w:r w:rsidRPr="00C65A61">
        <w:rPr>
          <w:rFonts w:asciiTheme="minorHAnsi" w:hAnsiTheme="minorHAnsi" w:cs="Arial"/>
          <w:sz w:val="22"/>
          <w:szCs w:val="22"/>
        </w:rPr>
        <w:t> </w:t>
      </w:r>
      <w:r w:rsidR="00274821" w:rsidRPr="00C65A61">
        <w:rPr>
          <w:rFonts w:asciiTheme="minorHAnsi" w:hAnsiTheme="minorHAnsi" w:cs="Arial"/>
          <w:sz w:val="22"/>
          <w:szCs w:val="22"/>
        </w:rPr>
        <w:t>(řádově více než rok trvajícímu) procesu posuzování vlivů na životní prostředí, došlo k časovému posunu předpokládaného plnění te</w:t>
      </w:r>
      <w:r w:rsidRPr="00C65A61">
        <w:rPr>
          <w:rFonts w:asciiTheme="minorHAnsi" w:hAnsiTheme="minorHAnsi" w:cs="Arial"/>
          <w:sz w:val="22"/>
          <w:szCs w:val="22"/>
        </w:rPr>
        <w:t>rmínů v případě některých nástrojů. I přes tuto skutečnost byl</w:t>
      </w:r>
      <w:r w:rsidR="00DD46B3" w:rsidRPr="00C65A61">
        <w:rPr>
          <w:rFonts w:asciiTheme="minorHAnsi" w:hAnsiTheme="minorHAnsi" w:cs="Arial"/>
          <w:sz w:val="22"/>
          <w:szCs w:val="22"/>
        </w:rPr>
        <w:t>a významná část</w:t>
      </w:r>
      <w:r w:rsidRPr="00C65A61">
        <w:rPr>
          <w:rFonts w:asciiTheme="minorHAnsi" w:hAnsiTheme="minorHAnsi" w:cs="Arial"/>
          <w:sz w:val="22"/>
          <w:szCs w:val="22"/>
        </w:rPr>
        <w:t xml:space="preserve"> nástroj</w:t>
      </w:r>
      <w:r w:rsidR="00DD46B3" w:rsidRPr="00C65A61">
        <w:rPr>
          <w:rFonts w:asciiTheme="minorHAnsi" w:hAnsiTheme="minorHAnsi" w:cs="Arial"/>
          <w:sz w:val="22"/>
          <w:szCs w:val="22"/>
        </w:rPr>
        <w:t>ů</w:t>
      </w:r>
      <w:r w:rsidRPr="00C65A61">
        <w:rPr>
          <w:rFonts w:asciiTheme="minorHAnsi" w:hAnsiTheme="minorHAnsi" w:cs="Arial"/>
          <w:sz w:val="22"/>
          <w:szCs w:val="22"/>
        </w:rPr>
        <w:t xml:space="preserve"> splněn</w:t>
      </w:r>
      <w:r w:rsidR="00DD46B3" w:rsidRPr="00C65A61">
        <w:rPr>
          <w:rFonts w:asciiTheme="minorHAnsi" w:hAnsiTheme="minorHAnsi" w:cs="Arial"/>
          <w:sz w:val="22"/>
          <w:szCs w:val="22"/>
        </w:rPr>
        <w:t>a</w:t>
      </w:r>
      <w:r w:rsidRPr="00C65A61">
        <w:rPr>
          <w:rFonts w:asciiTheme="minorHAnsi" w:hAnsiTheme="minorHAnsi" w:cs="Arial"/>
          <w:sz w:val="22"/>
          <w:szCs w:val="22"/>
        </w:rPr>
        <w:t xml:space="preserve"> ve </w:t>
      </w:r>
      <w:r w:rsidR="00F10564" w:rsidRPr="00C65A61">
        <w:rPr>
          <w:rFonts w:asciiTheme="minorHAnsi" w:hAnsiTheme="minorHAnsi" w:cs="Arial"/>
          <w:sz w:val="22"/>
          <w:szCs w:val="22"/>
        </w:rPr>
        <w:t xml:space="preserve">stanovených termínech. Aktuálně jsou všechny úkoly vyplývající z formulací jednotlivých nástrojů řešeny jak ze strany státní správy, tak i ze strany dalších odborných subjektů, které se státní správou spolupracují. Dosah Státní energetické koncepce </w:t>
      </w:r>
      <w:r w:rsidR="00F10564" w:rsidRPr="00C65A61">
        <w:rPr>
          <w:rFonts w:asciiTheme="minorHAnsi" w:hAnsiTheme="minorHAnsi" w:cs="Arial"/>
          <w:sz w:val="22"/>
          <w:szCs w:val="22"/>
        </w:rPr>
        <w:lastRenderedPageBreak/>
        <w:t>ČR a jejích nástrojů je značný a dotýká se celého národního hospodářství. Koordinace zpracování úkolů mnohdy zasahujících i do jiných odvětví, než je energetika, je tak relativně náročná.</w:t>
      </w:r>
    </w:p>
    <w:p w14:paraId="578852E2" w14:textId="7701C258" w:rsidR="00CE7E1D" w:rsidRPr="007D76AF" w:rsidRDefault="007E0BCD" w:rsidP="00142661">
      <w:pPr>
        <w:spacing w:after="120"/>
        <w:jc w:val="both"/>
        <w:rPr>
          <w:rFonts w:asciiTheme="minorHAnsi" w:hAnsiTheme="minorHAnsi" w:cs="Arial"/>
          <w:sz w:val="22"/>
          <w:szCs w:val="22"/>
        </w:rPr>
      </w:pPr>
      <w:r w:rsidRPr="00C65A61">
        <w:rPr>
          <w:rFonts w:asciiTheme="minorHAnsi" w:hAnsiTheme="minorHAnsi" w:cs="Arial"/>
          <w:sz w:val="22"/>
          <w:szCs w:val="22"/>
        </w:rPr>
        <w:t xml:space="preserve">Aktuálně již bylo zcela splněno </w:t>
      </w:r>
      <w:r w:rsidR="008D1E2B">
        <w:rPr>
          <w:rFonts w:asciiTheme="minorHAnsi" w:hAnsiTheme="minorHAnsi" w:cs="Arial"/>
          <w:sz w:val="22"/>
          <w:szCs w:val="22"/>
        </w:rPr>
        <w:t>20</w:t>
      </w:r>
      <w:r w:rsidRPr="00C65A61">
        <w:rPr>
          <w:rFonts w:asciiTheme="minorHAnsi" w:hAnsiTheme="minorHAnsi" w:cs="Arial"/>
          <w:sz w:val="22"/>
          <w:szCs w:val="22"/>
        </w:rPr>
        <w:t xml:space="preserve"> úkolů, dílčím způsobem pak bylo splněno </w:t>
      </w:r>
      <w:r w:rsidR="00C65A61">
        <w:rPr>
          <w:rFonts w:asciiTheme="minorHAnsi" w:hAnsiTheme="minorHAnsi" w:cs="Arial"/>
          <w:sz w:val="22"/>
          <w:szCs w:val="22"/>
        </w:rPr>
        <w:t>6</w:t>
      </w:r>
      <w:r w:rsidRPr="00C65A61">
        <w:rPr>
          <w:rFonts w:asciiTheme="minorHAnsi" w:hAnsiTheme="minorHAnsi" w:cs="Arial"/>
          <w:sz w:val="22"/>
          <w:szCs w:val="22"/>
        </w:rPr>
        <w:t xml:space="preserve"> úkolů s konkrétně určeným termínem plnění a průběžně je plněno 12 úkolů s průběžným termínem plnění, a to v rámci celkového počtu 49 nástrojů, které jsou ve Státní energetické koncepci ČR vymezeny. Co se týče plnění úkolů ve stanovených termínech, byly splněny prakticky všechny úkoly s termínem určeným na konec roku 2014 a dále byl</w:t>
      </w:r>
      <w:r w:rsidR="00C65A61">
        <w:rPr>
          <w:rFonts w:asciiTheme="minorHAnsi" w:hAnsiTheme="minorHAnsi" w:cs="Arial"/>
          <w:sz w:val="22"/>
          <w:szCs w:val="22"/>
        </w:rPr>
        <w:t>y</w:t>
      </w:r>
      <w:r w:rsidRPr="00C65A61">
        <w:rPr>
          <w:rFonts w:asciiTheme="minorHAnsi" w:hAnsiTheme="minorHAnsi" w:cs="Arial"/>
          <w:sz w:val="22"/>
          <w:szCs w:val="22"/>
        </w:rPr>
        <w:t xml:space="preserve"> zcela, nebo alespoň dílčím způsobem, splněn</w:t>
      </w:r>
      <w:r w:rsidR="00C65A61">
        <w:rPr>
          <w:rFonts w:asciiTheme="minorHAnsi" w:hAnsiTheme="minorHAnsi" w:cs="Arial"/>
          <w:sz w:val="22"/>
          <w:szCs w:val="22"/>
        </w:rPr>
        <w:t>y</w:t>
      </w:r>
      <w:r w:rsidRPr="00C65A61">
        <w:rPr>
          <w:rFonts w:asciiTheme="minorHAnsi" w:hAnsiTheme="minorHAnsi" w:cs="Arial"/>
          <w:sz w:val="22"/>
          <w:szCs w:val="22"/>
        </w:rPr>
        <w:t xml:space="preserve"> více než </w:t>
      </w:r>
      <w:r w:rsidR="00C65A61">
        <w:rPr>
          <w:rFonts w:asciiTheme="minorHAnsi" w:hAnsiTheme="minorHAnsi" w:cs="Arial"/>
          <w:sz w:val="22"/>
          <w:szCs w:val="22"/>
        </w:rPr>
        <w:t>dvě třetiny</w:t>
      </w:r>
      <w:r w:rsidRPr="00C65A61">
        <w:rPr>
          <w:rFonts w:asciiTheme="minorHAnsi" w:hAnsiTheme="minorHAnsi" w:cs="Arial"/>
          <w:sz w:val="22"/>
          <w:szCs w:val="22"/>
        </w:rPr>
        <w:t xml:space="preserve"> úkolů s termínem stanoveným na konec roku 2015, roku 2016 nebo roku 2017. </w:t>
      </w:r>
      <w:r w:rsidR="002E7749" w:rsidRPr="00C65A61">
        <w:rPr>
          <w:rFonts w:asciiTheme="minorHAnsi" w:hAnsiTheme="minorHAnsi" w:cs="Arial"/>
          <w:sz w:val="22"/>
          <w:szCs w:val="22"/>
        </w:rPr>
        <w:t xml:space="preserve">Zpoždění v plnění </w:t>
      </w:r>
      <w:r w:rsidR="00C65A61">
        <w:rPr>
          <w:rFonts w:asciiTheme="minorHAnsi" w:hAnsiTheme="minorHAnsi" w:cs="Arial"/>
          <w:sz w:val="22"/>
          <w:szCs w:val="22"/>
        </w:rPr>
        <w:t>některých</w:t>
      </w:r>
      <w:r w:rsidR="002E7749" w:rsidRPr="00C65A61">
        <w:rPr>
          <w:rFonts w:asciiTheme="minorHAnsi" w:hAnsiTheme="minorHAnsi" w:cs="Arial"/>
          <w:sz w:val="22"/>
          <w:szCs w:val="22"/>
        </w:rPr>
        <w:t xml:space="preserve"> úkolů oproti</w:t>
      </w:r>
      <w:r w:rsidR="00C65A61">
        <w:rPr>
          <w:rFonts w:asciiTheme="minorHAnsi" w:hAnsiTheme="minorHAnsi" w:cs="Arial"/>
          <w:sz w:val="22"/>
          <w:szCs w:val="22"/>
        </w:rPr>
        <w:t xml:space="preserve"> jejich</w:t>
      </w:r>
      <w:r w:rsidR="002E7749" w:rsidRPr="00C65A61">
        <w:rPr>
          <w:rFonts w:asciiTheme="minorHAnsi" w:hAnsiTheme="minorHAnsi" w:cs="Arial"/>
          <w:sz w:val="22"/>
          <w:szCs w:val="22"/>
        </w:rPr>
        <w:t xml:space="preserve"> původně stanoveným termínům vyplývá z objektivních důvodů, které jsou detailně uvedeny níže. Obecně </w:t>
      </w:r>
      <w:r w:rsidR="001C0781">
        <w:rPr>
          <w:rFonts w:asciiTheme="minorHAnsi" w:hAnsiTheme="minorHAnsi" w:cs="Arial"/>
          <w:sz w:val="22"/>
          <w:szCs w:val="22"/>
        </w:rPr>
        <w:t xml:space="preserve">je </w:t>
      </w:r>
      <w:r w:rsidR="002E7749" w:rsidRPr="00C65A61">
        <w:rPr>
          <w:rFonts w:asciiTheme="minorHAnsi" w:hAnsiTheme="minorHAnsi" w:cs="Arial"/>
          <w:sz w:val="22"/>
          <w:szCs w:val="22"/>
        </w:rPr>
        <w:t xml:space="preserve">však </w:t>
      </w:r>
      <w:r w:rsidR="001C0781">
        <w:rPr>
          <w:rFonts w:asciiTheme="minorHAnsi" w:hAnsiTheme="minorHAnsi" w:cs="Arial"/>
          <w:sz w:val="22"/>
          <w:szCs w:val="22"/>
        </w:rPr>
        <w:t>možné</w:t>
      </w:r>
      <w:r w:rsidR="002E7749" w:rsidRPr="00C65A61">
        <w:rPr>
          <w:rFonts w:asciiTheme="minorHAnsi" w:hAnsiTheme="minorHAnsi" w:cs="Arial"/>
          <w:sz w:val="22"/>
          <w:szCs w:val="22"/>
        </w:rPr>
        <w:t xml:space="preserve"> uvést, že </w:t>
      </w:r>
      <w:r w:rsidR="001C0781">
        <w:rPr>
          <w:rFonts w:asciiTheme="minorHAnsi" w:hAnsiTheme="minorHAnsi" w:cs="Arial"/>
          <w:sz w:val="22"/>
          <w:szCs w:val="22"/>
        </w:rPr>
        <w:t>na</w:t>
      </w:r>
      <w:r w:rsidR="002E7749" w:rsidRPr="00C65A61">
        <w:rPr>
          <w:rFonts w:asciiTheme="minorHAnsi" w:hAnsiTheme="minorHAnsi" w:cs="Arial"/>
          <w:sz w:val="22"/>
          <w:szCs w:val="22"/>
        </w:rPr>
        <w:t>příklad v oblasti legislativy je harmonogram plnění dán procesem přípravy a</w:t>
      </w:r>
      <w:r w:rsidR="007D76AF" w:rsidRPr="00C65A61">
        <w:rPr>
          <w:rFonts w:asciiTheme="minorHAnsi" w:hAnsiTheme="minorHAnsi" w:cs="Arial"/>
          <w:sz w:val="22"/>
          <w:szCs w:val="22"/>
        </w:rPr>
        <w:t> </w:t>
      </w:r>
      <w:r w:rsidR="002E7749" w:rsidRPr="00C65A61">
        <w:rPr>
          <w:rFonts w:asciiTheme="minorHAnsi" w:hAnsiTheme="minorHAnsi" w:cs="Arial"/>
          <w:sz w:val="22"/>
          <w:szCs w:val="22"/>
        </w:rPr>
        <w:t xml:space="preserve">schvalování tohoto typu </w:t>
      </w:r>
      <w:r w:rsidR="007D76AF" w:rsidRPr="00C65A61">
        <w:rPr>
          <w:rFonts w:asciiTheme="minorHAnsi" w:hAnsiTheme="minorHAnsi" w:cs="Arial"/>
          <w:sz w:val="22"/>
          <w:szCs w:val="22"/>
        </w:rPr>
        <w:t>materiálů</w:t>
      </w:r>
      <w:r w:rsidR="00A90902" w:rsidRPr="00C65A61">
        <w:rPr>
          <w:rFonts w:asciiTheme="minorHAnsi" w:hAnsiTheme="minorHAnsi" w:cs="Arial"/>
          <w:sz w:val="22"/>
          <w:szCs w:val="22"/>
        </w:rPr>
        <w:t>.</w:t>
      </w:r>
      <w:r w:rsidR="002E7749" w:rsidRPr="00C65A61">
        <w:rPr>
          <w:rFonts w:asciiTheme="minorHAnsi" w:hAnsiTheme="minorHAnsi" w:cs="Arial"/>
          <w:sz w:val="22"/>
          <w:szCs w:val="22"/>
        </w:rPr>
        <w:t xml:space="preserve"> </w:t>
      </w:r>
      <w:r w:rsidR="00A90902" w:rsidRPr="00C65A61">
        <w:rPr>
          <w:rFonts w:asciiTheme="minorHAnsi" w:hAnsiTheme="minorHAnsi" w:cs="Arial"/>
          <w:sz w:val="22"/>
          <w:szCs w:val="22"/>
        </w:rPr>
        <w:t>N</w:t>
      </w:r>
      <w:r w:rsidR="002E7749" w:rsidRPr="00C65A61">
        <w:rPr>
          <w:rFonts w:asciiTheme="minorHAnsi" w:hAnsiTheme="minorHAnsi" w:cs="Arial"/>
          <w:sz w:val="22"/>
          <w:szCs w:val="22"/>
        </w:rPr>
        <w:t>ěkteré požadavky Státní energetické koncepce</w:t>
      </w:r>
      <w:r w:rsidR="007D76AF" w:rsidRPr="00C65A61">
        <w:rPr>
          <w:rFonts w:asciiTheme="minorHAnsi" w:hAnsiTheme="minorHAnsi" w:cs="Arial"/>
          <w:sz w:val="22"/>
          <w:szCs w:val="22"/>
        </w:rPr>
        <w:t xml:space="preserve"> ČR</w:t>
      </w:r>
      <w:r w:rsidR="002E7749" w:rsidRPr="00C65A61">
        <w:rPr>
          <w:rFonts w:asciiTheme="minorHAnsi" w:hAnsiTheme="minorHAnsi" w:cs="Arial"/>
          <w:sz w:val="22"/>
          <w:szCs w:val="22"/>
        </w:rPr>
        <w:t xml:space="preserve"> byly</w:t>
      </w:r>
      <w:r w:rsidR="00A90902" w:rsidRPr="00C65A61">
        <w:rPr>
          <w:rFonts w:asciiTheme="minorHAnsi" w:hAnsiTheme="minorHAnsi" w:cs="Arial"/>
          <w:sz w:val="22"/>
          <w:szCs w:val="22"/>
        </w:rPr>
        <w:t xml:space="preserve"> do legislativ</w:t>
      </w:r>
      <w:r w:rsidR="007D76AF" w:rsidRPr="00C65A61">
        <w:rPr>
          <w:rFonts w:asciiTheme="minorHAnsi" w:hAnsiTheme="minorHAnsi" w:cs="Arial"/>
          <w:sz w:val="22"/>
          <w:szCs w:val="22"/>
        </w:rPr>
        <w:t>y</w:t>
      </w:r>
      <w:r w:rsidR="00B250AD" w:rsidRPr="00C65A61">
        <w:rPr>
          <w:rFonts w:asciiTheme="minorHAnsi" w:hAnsiTheme="minorHAnsi" w:cs="Arial"/>
          <w:sz w:val="22"/>
          <w:szCs w:val="22"/>
        </w:rPr>
        <w:t xml:space="preserve"> také promítnuty zatím </w:t>
      </w:r>
      <w:r w:rsidR="002E7749" w:rsidRPr="00C65A61">
        <w:rPr>
          <w:rFonts w:asciiTheme="minorHAnsi" w:hAnsiTheme="minorHAnsi" w:cs="Arial"/>
          <w:sz w:val="22"/>
          <w:szCs w:val="22"/>
        </w:rPr>
        <w:t xml:space="preserve">pouze dílčím způsobem a jejich plnění bude </w:t>
      </w:r>
      <w:r w:rsidR="00A90902" w:rsidRPr="00C65A61">
        <w:rPr>
          <w:rFonts w:asciiTheme="minorHAnsi" w:hAnsiTheme="minorHAnsi" w:cs="Arial"/>
          <w:sz w:val="22"/>
          <w:szCs w:val="22"/>
        </w:rPr>
        <w:t xml:space="preserve">dále </w:t>
      </w:r>
      <w:r w:rsidR="002E7749" w:rsidRPr="00C65A61">
        <w:rPr>
          <w:rFonts w:asciiTheme="minorHAnsi" w:hAnsiTheme="minorHAnsi" w:cs="Arial"/>
          <w:sz w:val="22"/>
          <w:szCs w:val="22"/>
        </w:rPr>
        <w:t>probíhat v rámci připravovaných a budoucích úprav daných zákonů</w:t>
      </w:r>
      <w:r w:rsidR="00B250AD" w:rsidRPr="00C65A61">
        <w:rPr>
          <w:rFonts w:asciiTheme="minorHAnsi" w:hAnsiTheme="minorHAnsi" w:cs="Arial"/>
          <w:sz w:val="22"/>
          <w:szCs w:val="22"/>
        </w:rPr>
        <w:t>,</w:t>
      </w:r>
      <w:r w:rsidR="00B250AD" w:rsidRPr="00C65A61">
        <w:t xml:space="preserve"> </w:t>
      </w:r>
      <w:r w:rsidR="00B250AD" w:rsidRPr="00C65A61">
        <w:rPr>
          <w:rFonts w:asciiTheme="minorHAnsi" w:hAnsiTheme="minorHAnsi" w:cs="Arial"/>
          <w:sz w:val="22"/>
          <w:szCs w:val="22"/>
        </w:rPr>
        <w:t>případně souvisejících prováděcích předpisů</w:t>
      </w:r>
      <w:r w:rsidR="002E7749" w:rsidRPr="00C65A61">
        <w:rPr>
          <w:rFonts w:asciiTheme="minorHAnsi" w:hAnsiTheme="minorHAnsi" w:cs="Arial"/>
          <w:sz w:val="22"/>
          <w:szCs w:val="22"/>
        </w:rPr>
        <w:t xml:space="preserve">. </w:t>
      </w:r>
      <w:r w:rsidR="001C0781">
        <w:rPr>
          <w:rFonts w:asciiTheme="minorHAnsi" w:hAnsiTheme="minorHAnsi" w:cs="Arial"/>
          <w:sz w:val="22"/>
          <w:szCs w:val="22"/>
        </w:rPr>
        <w:t>Pro tyto</w:t>
      </w:r>
      <w:r w:rsidR="002E7749" w:rsidRPr="00C65A61">
        <w:rPr>
          <w:rFonts w:asciiTheme="minorHAnsi" w:hAnsiTheme="minorHAnsi" w:cs="Arial"/>
          <w:sz w:val="22"/>
          <w:szCs w:val="22"/>
        </w:rPr>
        <w:t xml:space="preserve"> úkol</w:t>
      </w:r>
      <w:r w:rsidR="001C0781">
        <w:rPr>
          <w:rFonts w:asciiTheme="minorHAnsi" w:hAnsiTheme="minorHAnsi" w:cs="Arial"/>
          <w:sz w:val="22"/>
          <w:szCs w:val="22"/>
        </w:rPr>
        <w:t>y</w:t>
      </w:r>
      <w:r w:rsidR="002E7749" w:rsidRPr="00C65A61">
        <w:rPr>
          <w:rFonts w:asciiTheme="minorHAnsi" w:hAnsiTheme="minorHAnsi" w:cs="Arial"/>
          <w:sz w:val="22"/>
          <w:szCs w:val="22"/>
        </w:rPr>
        <w:t xml:space="preserve"> </w:t>
      </w:r>
      <w:r w:rsidR="00A90902" w:rsidRPr="00C65A61">
        <w:rPr>
          <w:rFonts w:asciiTheme="minorHAnsi" w:hAnsiTheme="minorHAnsi" w:cs="Arial"/>
          <w:sz w:val="22"/>
          <w:szCs w:val="22"/>
        </w:rPr>
        <w:t xml:space="preserve">je </w:t>
      </w:r>
      <w:r w:rsidR="002E7749" w:rsidRPr="00C65A61">
        <w:rPr>
          <w:rFonts w:asciiTheme="minorHAnsi" w:hAnsiTheme="minorHAnsi" w:cs="Arial"/>
          <w:sz w:val="22"/>
          <w:szCs w:val="22"/>
        </w:rPr>
        <w:t xml:space="preserve">uvedeno, že jsou plněny dílčím způsobem a v popisu plnění </w:t>
      </w:r>
      <w:r w:rsidR="00A90902" w:rsidRPr="00C65A61">
        <w:rPr>
          <w:rFonts w:asciiTheme="minorHAnsi" w:hAnsiTheme="minorHAnsi" w:cs="Arial"/>
          <w:sz w:val="22"/>
          <w:szCs w:val="22"/>
        </w:rPr>
        <w:t>je konkrétně</w:t>
      </w:r>
      <w:r w:rsidR="002E7749" w:rsidRPr="00C65A61">
        <w:rPr>
          <w:rFonts w:asciiTheme="minorHAnsi" w:hAnsiTheme="minorHAnsi" w:cs="Arial"/>
          <w:sz w:val="22"/>
          <w:szCs w:val="22"/>
        </w:rPr>
        <w:t xml:space="preserve"> uvedeno, které dílčí části lze považovat za splněné. </w:t>
      </w:r>
      <w:r w:rsidR="00BC204A" w:rsidRPr="00C65A61">
        <w:rPr>
          <w:rFonts w:asciiTheme="minorHAnsi" w:hAnsiTheme="minorHAnsi" w:cs="Arial"/>
          <w:sz w:val="22"/>
          <w:szCs w:val="22"/>
        </w:rPr>
        <w:t>U</w:t>
      </w:r>
      <w:r w:rsidR="007D76AF" w:rsidRPr="00C65A61">
        <w:rPr>
          <w:rFonts w:asciiTheme="minorHAnsi" w:hAnsiTheme="minorHAnsi" w:cs="Arial"/>
          <w:sz w:val="22"/>
          <w:szCs w:val="22"/>
        </w:rPr>
        <w:t> </w:t>
      </w:r>
      <w:r w:rsidR="00BC204A" w:rsidRPr="00C65A61">
        <w:rPr>
          <w:rFonts w:asciiTheme="minorHAnsi" w:hAnsiTheme="minorHAnsi" w:cs="Arial"/>
          <w:sz w:val="22"/>
          <w:szCs w:val="22"/>
        </w:rPr>
        <w:t>některých úkolů</w:t>
      </w:r>
      <w:r w:rsidR="001C0781">
        <w:rPr>
          <w:rFonts w:asciiTheme="minorHAnsi" w:hAnsiTheme="minorHAnsi" w:cs="Arial"/>
          <w:sz w:val="22"/>
          <w:szCs w:val="22"/>
        </w:rPr>
        <w:t>,</w:t>
      </w:r>
      <w:r w:rsidR="00BC204A" w:rsidRPr="00C65A61">
        <w:rPr>
          <w:rFonts w:asciiTheme="minorHAnsi" w:hAnsiTheme="minorHAnsi" w:cs="Arial"/>
          <w:sz w:val="22"/>
          <w:szCs w:val="22"/>
        </w:rPr>
        <w:t xml:space="preserve"> souvisejících</w:t>
      </w:r>
      <w:r w:rsidR="001C0781">
        <w:rPr>
          <w:rFonts w:asciiTheme="minorHAnsi" w:hAnsiTheme="minorHAnsi" w:cs="Arial"/>
          <w:sz w:val="22"/>
          <w:szCs w:val="22"/>
        </w:rPr>
        <w:t xml:space="preserve"> například</w:t>
      </w:r>
      <w:r w:rsidR="00BC204A" w:rsidRPr="00C65A61">
        <w:rPr>
          <w:rFonts w:asciiTheme="minorHAnsi" w:hAnsiTheme="minorHAnsi" w:cs="Arial"/>
          <w:sz w:val="22"/>
          <w:szCs w:val="22"/>
        </w:rPr>
        <w:t xml:space="preserve"> s nástroji v oblasti výkonu státní správy</w:t>
      </w:r>
      <w:r w:rsidR="001C0781">
        <w:rPr>
          <w:rFonts w:asciiTheme="minorHAnsi" w:hAnsiTheme="minorHAnsi" w:cs="Arial"/>
          <w:sz w:val="22"/>
          <w:szCs w:val="22"/>
        </w:rPr>
        <w:t>,</w:t>
      </w:r>
      <w:r w:rsidR="00BC204A" w:rsidRPr="00C65A61">
        <w:rPr>
          <w:rFonts w:asciiTheme="minorHAnsi" w:hAnsiTheme="minorHAnsi" w:cs="Arial"/>
          <w:sz w:val="22"/>
          <w:szCs w:val="22"/>
        </w:rPr>
        <w:t xml:space="preserve"> došlo také od doby schválení Státní energetické koncepce</w:t>
      </w:r>
      <w:r w:rsidR="007D76AF" w:rsidRPr="00C65A61">
        <w:rPr>
          <w:rFonts w:asciiTheme="minorHAnsi" w:hAnsiTheme="minorHAnsi" w:cs="Arial"/>
          <w:sz w:val="22"/>
          <w:szCs w:val="22"/>
        </w:rPr>
        <w:t xml:space="preserve"> ČR</w:t>
      </w:r>
      <w:r w:rsidR="00BC204A" w:rsidRPr="00C65A61">
        <w:rPr>
          <w:rFonts w:asciiTheme="minorHAnsi" w:hAnsiTheme="minorHAnsi" w:cs="Arial"/>
          <w:sz w:val="22"/>
          <w:szCs w:val="22"/>
        </w:rPr>
        <w:t xml:space="preserve"> k</w:t>
      </w:r>
      <w:r w:rsidR="00142661" w:rsidRPr="00C65A61">
        <w:rPr>
          <w:rFonts w:asciiTheme="minorHAnsi" w:hAnsiTheme="minorHAnsi" w:cs="Arial"/>
          <w:sz w:val="22"/>
          <w:szCs w:val="22"/>
        </w:rPr>
        <w:t xml:space="preserve"> dílčím změnám, které ovlivnily </w:t>
      </w:r>
      <w:r w:rsidR="001C0781">
        <w:rPr>
          <w:rFonts w:asciiTheme="minorHAnsi" w:hAnsiTheme="minorHAnsi" w:cs="Arial"/>
          <w:sz w:val="22"/>
          <w:szCs w:val="22"/>
        </w:rPr>
        <w:t xml:space="preserve">jejich </w:t>
      </w:r>
      <w:r w:rsidR="00142661" w:rsidRPr="00C65A61">
        <w:rPr>
          <w:rFonts w:asciiTheme="minorHAnsi" w:hAnsiTheme="minorHAnsi" w:cs="Arial"/>
          <w:sz w:val="22"/>
          <w:szCs w:val="22"/>
        </w:rPr>
        <w:t xml:space="preserve">plnění. V těchto případech je konkrétně uvedeno, co podmiňuje plnění těchto úkolů, aby bylo patrné, v jakém termínu lze očekávat jejich </w:t>
      </w:r>
      <w:r w:rsidR="001C0781">
        <w:rPr>
          <w:rFonts w:asciiTheme="minorHAnsi" w:hAnsiTheme="minorHAnsi" w:cs="Arial"/>
          <w:sz w:val="22"/>
          <w:szCs w:val="22"/>
        </w:rPr>
        <w:t>s</w:t>
      </w:r>
      <w:r w:rsidR="00142661" w:rsidRPr="00C65A61">
        <w:rPr>
          <w:rFonts w:asciiTheme="minorHAnsi" w:hAnsiTheme="minorHAnsi" w:cs="Arial"/>
          <w:sz w:val="22"/>
          <w:szCs w:val="22"/>
        </w:rPr>
        <w:t>plnění.</w:t>
      </w:r>
      <w:r w:rsidR="007D76AF" w:rsidRPr="00C65A61">
        <w:rPr>
          <w:rFonts w:asciiTheme="minorHAnsi" w:hAnsiTheme="minorHAnsi" w:cs="Arial"/>
          <w:sz w:val="22"/>
          <w:szCs w:val="22"/>
        </w:rPr>
        <w:t xml:space="preserve"> </w:t>
      </w:r>
      <w:r w:rsidR="009604C7" w:rsidRPr="00C65A61">
        <w:rPr>
          <w:rFonts w:asciiTheme="minorHAnsi" w:hAnsiTheme="minorHAnsi" w:cs="Arial"/>
          <w:sz w:val="22"/>
          <w:szCs w:val="22"/>
        </w:rPr>
        <w:t>U</w:t>
      </w:r>
      <w:r w:rsidR="00D303B2">
        <w:rPr>
          <w:rFonts w:asciiTheme="minorHAnsi" w:hAnsiTheme="minorHAnsi" w:cs="Arial"/>
          <w:sz w:val="22"/>
          <w:szCs w:val="22"/>
        </w:rPr>
        <w:t> </w:t>
      </w:r>
      <w:r w:rsidR="009604C7" w:rsidRPr="00C65A61">
        <w:rPr>
          <w:rFonts w:asciiTheme="minorHAnsi" w:hAnsiTheme="minorHAnsi" w:cs="Arial"/>
          <w:sz w:val="22"/>
          <w:szCs w:val="22"/>
        </w:rPr>
        <w:t>úkolů s pozdějším termínem plnění se předpokládá dodržení stanoveného termínu</w:t>
      </w:r>
      <w:r w:rsidR="00142661" w:rsidRPr="00C65A61">
        <w:rPr>
          <w:rFonts w:asciiTheme="minorHAnsi" w:hAnsiTheme="minorHAnsi" w:cs="Arial"/>
          <w:sz w:val="22"/>
          <w:szCs w:val="22"/>
        </w:rPr>
        <w:t xml:space="preserve">, </w:t>
      </w:r>
      <w:r w:rsidR="007D76AF" w:rsidRPr="00C65A61">
        <w:rPr>
          <w:rFonts w:asciiTheme="minorHAnsi" w:hAnsiTheme="minorHAnsi" w:cs="Arial"/>
          <w:sz w:val="22"/>
          <w:szCs w:val="22"/>
        </w:rPr>
        <w:t xml:space="preserve">popis </w:t>
      </w:r>
      <w:r w:rsidR="00142661" w:rsidRPr="00C65A61">
        <w:rPr>
          <w:rFonts w:asciiTheme="minorHAnsi" w:hAnsiTheme="minorHAnsi" w:cs="Arial"/>
          <w:sz w:val="22"/>
          <w:szCs w:val="22"/>
        </w:rPr>
        <w:t xml:space="preserve">plnění těchto úkolů </w:t>
      </w:r>
      <w:r w:rsidR="00E022CB" w:rsidRPr="00C65A61">
        <w:rPr>
          <w:rFonts w:asciiTheme="minorHAnsi" w:hAnsiTheme="minorHAnsi" w:cs="Arial"/>
          <w:sz w:val="22"/>
          <w:szCs w:val="22"/>
        </w:rPr>
        <w:t xml:space="preserve">pak </w:t>
      </w:r>
      <w:r w:rsidR="00142661" w:rsidRPr="00C65A61">
        <w:rPr>
          <w:rFonts w:asciiTheme="minorHAnsi" w:hAnsiTheme="minorHAnsi" w:cs="Arial"/>
          <w:sz w:val="22"/>
          <w:szCs w:val="22"/>
        </w:rPr>
        <w:t xml:space="preserve">bude </w:t>
      </w:r>
      <w:r w:rsidR="00B250AD" w:rsidRPr="00C65A61">
        <w:rPr>
          <w:rFonts w:asciiTheme="minorHAnsi" w:hAnsiTheme="minorHAnsi" w:cs="Arial"/>
          <w:sz w:val="22"/>
          <w:szCs w:val="22"/>
        </w:rPr>
        <w:t>součástí</w:t>
      </w:r>
      <w:r w:rsidR="00E022CB" w:rsidRPr="00C65A61">
        <w:rPr>
          <w:rFonts w:asciiTheme="minorHAnsi" w:hAnsiTheme="minorHAnsi" w:cs="Arial"/>
          <w:sz w:val="22"/>
          <w:szCs w:val="22"/>
        </w:rPr>
        <w:t xml:space="preserve"> další periodické zprávy</w:t>
      </w:r>
      <w:r w:rsidR="009604C7" w:rsidRPr="00C65A61">
        <w:rPr>
          <w:rFonts w:asciiTheme="minorHAnsi" w:hAnsiTheme="minorHAnsi" w:cs="Arial"/>
          <w:sz w:val="22"/>
          <w:szCs w:val="22"/>
        </w:rPr>
        <w:t>. V následujících kapitolách je uvedeno úplné znění všech nástrojů a podrobný popis jejich plnění.</w:t>
      </w:r>
    </w:p>
    <w:p w14:paraId="74B114E6" w14:textId="77777777" w:rsidR="00274821" w:rsidRDefault="00274821" w:rsidP="006E05C2">
      <w:pPr>
        <w:pStyle w:val="Nadpis1"/>
      </w:pPr>
      <w:bookmarkStart w:id="5" w:name="_Toc498509193"/>
      <w:r w:rsidRPr="006B443D">
        <w:t xml:space="preserve">Konkrétní postup plnění </w:t>
      </w:r>
      <w:r w:rsidR="00B2037C">
        <w:t>nástrojů</w:t>
      </w:r>
      <w:r w:rsidRPr="006B443D">
        <w:t xml:space="preserve"> v rámci jednotlivých oblastí</w:t>
      </w:r>
      <w:bookmarkEnd w:id="5"/>
    </w:p>
    <w:p w14:paraId="3B5A0778" w14:textId="77777777" w:rsidR="001E07D3" w:rsidRPr="001E07D3" w:rsidRDefault="001E07D3" w:rsidP="001E07D3">
      <w:pPr>
        <w:pStyle w:val="Odstavecseseznamem"/>
        <w:keepNext/>
        <w:keepLines/>
        <w:numPr>
          <w:ilvl w:val="0"/>
          <w:numId w:val="7"/>
        </w:numPr>
        <w:spacing w:before="240" w:after="120"/>
        <w:contextualSpacing w:val="0"/>
        <w:outlineLvl w:val="1"/>
        <w:rPr>
          <w:rFonts w:asciiTheme="minorHAnsi" w:eastAsiaTheme="majorEastAsia" w:hAnsiTheme="minorHAnsi" w:cstheme="majorBidi"/>
          <w:b/>
          <w:vanish/>
          <w:sz w:val="26"/>
          <w:szCs w:val="26"/>
        </w:rPr>
      </w:pPr>
      <w:bookmarkStart w:id="6" w:name="_Toc468262851"/>
      <w:bookmarkStart w:id="7" w:name="_Toc468269301"/>
      <w:bookmarkStart w:id="8" w:name="_Toc468359965"/>
      <w:bookmarkStart w:id="9" w:name="_Toc498509194"/>
      <w:bookmarkEnd w:id="6"/>
      <w:bookmarkEnd w:id="7"/>
      <w:bookmarkEnd w:id="8"/>
      <w:bookmarkEnd w:id="9"/>
    </w:p>
    <w:p w14:paraId="4FBE570B" w14:textId="77777777" w:rsidR="001E07D3" w:rsidRPr="001E07D3" w:rsidRDefault="001E07D3" w:rsidP="001E07D3">
      <w:pPr>
        <w:pStyle w:val="Odstavecseseznamem"/>
        <w:keepNext/>
        <w:keepLines/>
        <w:numPr>
          <w:ilvl w:val="0"/>
          <w:numId w:val="7"/>
        </w:numPr>
        <w:spacing w:before="240" w:after="120"/>
        <w:contextualSpacing w:val="0"/>
        <w:outlineLvl w:val="1"/>
        <w:rPr>
          <w:rFonts w:asciiTheme="minorHAnsi" w:eastAsiaTheme="majorEastAsia" w:hAnsiTheme="minorHAnsi" w:cstheme="majorBidi"/>
          <w:b/>
          <w:vanish/>
          <w:sz w:val="26"/>
          <w:szCs w:val="26"/>
        </w:rPr>
      </w:pPr>
      <w:bookmarkStart w:id="10" w:name="_Toc468262852"/>
      <w:bookmarkStart w:id="11" w:name="_Toc468269302"/>
      <w:bookmarkStart w:id="12" w:name="_Toc468359966"/>
      <w:bookmarkStart w:id="13" w:name="_Toc498509195"/>
      <w:bookmarkEnd w:id="10"/>
      <w:bookmarkEnd w:id="11"/>
      <w:bookmarkEnd w:id="12"/>
      <w:bookmarkEnd w:id="13"/>
    </w:p>
    <w:p w14:paraId="228AEED2" w14:textId="77777777" w:rsidR="001E07D3" w:rsidRPr="001E07D3" w:rsidRDefault="001E07D3" w:rsidP="001E07D3">
      <w:pPr>
        <w:pStyle w:val="Odstavecseseznamem"/>
        <w:keepNext/>
        <w:keepLines/>
        <w:numPr>
          <w:ilvl w:val="0"/>
          <w:numId w:val="7"/>
        </w:numPr>
        <w:spacing w:before="240" w:after="120"/>
        <w:contextualSpacing w:val="0"/>
        <w:outlineLvl w:val="1"/>
        <w:rPr>
          <w:rFonts w:asciiTheme="minorHAnsi" w:eastAsiaTheme="majorEastAsia" w:hAnsiTheme="minorHAnsi" w:cstheme="majorBidi"/>
          <w:b/>
          <w:vanish/>
          <w:sz w:val="26"/>
          <w:szCs w:val="26"/>
        </w:rPr>
      </w:pPr>
      <w:bookmarkStart w:id="14" w:name="_Toc468262853"/>
      <w:bookmarkStart w:id="15" w:name="_Toc468269303"/>
      <w:bookmarkStart w:id="16" w:name="_Toc468359967"/>
      <w:bookmarkStart w:id="17" w:name="_Toc498509196"/>
      <w:bookmarkEnd w:id="14"/>
      <w:bookmarkEnd w:id="15"/>
      <w:bookmarkEnd w:id="16"/>
      <w:bookmarkEnd w:id="17"/>
    </w:p>
    <w:p w14:paraId="4E50EC1F" w14:textId="77777777" w:rsidR="001E07D3" w:rsidRPr="001E07D3" w:rsidRDefault="001E07D3" w:rsidP="001E07D3">
      <w:pPr>
        <w:pStyle w:val="Odstavecseseznamem"/>
        <w:keepNext/>
        <w:keepLines/>
        <w:numPr>
          <w:ilvl w:val="0"/>
          <w:numId w:val="7"/>
        </w:numPr>
        <w:spacing w:before="240" w:after="120"/>
        <w:contextualSpacing w:val="0"/>
        <w:outlineLvl w:val="1"/>
        <w:rPr>
          <w:rFonts w:asciiTheme="minorHAnsi" w:eastAsiaTheme="majorEastAsia" w:hAnsiTheme="minorHAnsi" w:cstheme="majorBidi"/>
          <w:b/>
          <w:vanish/>
          <w:sz w:val="26"/>
          <w:szCs w:val="26"/>
        </w:rPr>
      </w:pPr>
      <w:bookmarkStart w:id="18" w:name="_Toc468262854"/>
      <w:bookmarkStart w:id="19" w:name="_Toc468269304"/>
      <w:bookmarkStart w:id="20" w:name="_Toc468359968"/>
      <w:bookmarkStart w:id="21" w:name="_Toc498509197"/>
      <w:bookmarkEnd w:id="18"/>
      <w:bookmarkEnd w:id="19"/>
      <w:bookmarkEnd w:id="20"/>
      <w:bookmarkEnd w:id="21"/>
    </w:p>
    <w:p w14:paraId="487BA14F" w14:textId="46F8B552" w:rsidR="00274821" w:rsidRPr="006E05C2" w:rsidRDefault="00274821" w:rsidP="001E07D3">
      <w:pPr>
        <w:pStyle w:val="Nadpis2"/>
      </w:pPr>
      <w:bookmarkStart w:id="22" w:name="_Toc498509198"/>
      <w:r w:rsidRPr="006E05C2">
        <w:t>Nástroje v oblasti legislativní</w:t>
      </w:r>
      <w:bookmarkEnd w:id="22"/>
    </w:p>
    <w:p w14:paraId="27E146BE" w14:textId="1989B3FD" w:rsidR="002253F4" w:rsidRPr="002253F4" w:rsidRDefault="002253F4" w:rsidP="002253F4">
      <w:pPr>
        <w:spacing w:after="240"/>
        <w:jc w:val="both"/>
        <w:rPr>
          <w:rFonts w:asciiTheme="minorHAnsi" w:hAnsiTheme="minorHAnsi"/>
          <w:sz w:val="22"/>
          <w:szCs w:val="22"/>
        </w:rPr>
      </w:pPr>
      <w:r w:rsidRPr="001C0781">
        <w:rPr>
          <w:rFonts w:asciiTheme="minorHAnsi" w:hAnsiTheme="minorHAnsi"/>
          <w:sz w:val="22"/>
          <w:szCs w:val="22"/>
        </w:rPr>
        <w:t>V oblasti legislativní byly vydány</w:t>
      </w:r>
      <w:r w:rsidR="00142661" w:rsidRPr="001C0781">
        <w:rPr>
          <w:rFonts w:asciiTheme="minorHAnsi" w:hAnsiTheme="minorHAnsi"/>
          <w:sz w:val="22"/>
          <w:szCs w:val="22"/>
        </w:rPr>
        <w:t xml:space="preserve"> </w:t>
      </w:r>
      <w:r w:rsidR="00DD03B4" w:rsidRPr="001C0781">
        <w:rPr>
          <w:rFonts w:asciiTheme="minorHAnsi" w:hAnsiTheme="minorHAnsi"/>
          <w:sz w:val="22"/>
          <w:szCs w:val="22"/>
        </w:rPr>
        <w:t xml:space="preserve">zejména </w:t>
      </w:r>
      <w:r w:rsidR="00142661" w:rsidRPr="001C0781">
        <w:rPr>
          <w:rFonts w:asciiTheme="minorHAnsi" w:hAnsiTheme="minorHAnsi"/>
          <w:sz w:val="22"/>
          <w:szCs w:val="22"/>
        </w:rPr>
        <w:t>tyto zákony:</w:t>
      </w:r>
      <w:r w:rsidRPr="001C0781">
        <w:rPr>
          <w:rFonts w:asciiTheme="minorHAnsi" w:hAnsiTheme="minorHAnsi"/>
          <w:sz w:val="22"/>
          <w:szCs w:val="22"/>
        </w:rPr>
        <w:t xml:space="preserve"> zákon č. 131/2015 Sb., kterým se mění zákon č.</w:t>
      </w:r>
      <w:r w:rsidR="007D28DC" w:rsidRPr="001C0781">
        <w:rPr>
          <w:rFonts w:asciiTheme="minorHAnsi" w:hAnsiTheme="minorHAnsi"/>
          <w:sz w:val="22"/>
          <w:szCs w:val="22"/>
        </w:rPr>
        <w:t> </w:t>
      </w:r>
      <w:r w:rsidRPr="001C0781">
        <w:rPr>
          <w:rFonts w:asciiTheme="minorHAnsi" w:hAnsiTheme="minorHAnsi"/>
          <w:sz w:val="22"/>
          <w:szCs w:val="22"/>
        </w:rPr>
        <w:t>458/2000 Sb., o podmínkách podnikání a o výkonu státní správy v energetických odvětvích, dále zákon č. 103/2015 Sb., kterým se mění zákon č. 406/2000 Sb., o hospodaření energií</w:t>
      </w:r>
      <w:r w:rsidR="00BB1D98" w:rsidRPr="001C0781">
        <w:rPr>
          <w:rFonts w:asciiTheme="minorHAnsi" w:hAnsiTheme="minorHAnsi"/>
          <w:sz w:val="22"/>
          <w:szCs w:val="22"/>
        </w:rPr>
        <w:t>, dále zákon č. 369/2016 Sb., kterým se mění zákon č.</w:t>
      </w:r>
      <w:r w:rsidR="00BB1D98" w:rsidRPr="001C0781">
        <w:t xml:space="preserve"> </w:t>
      </w:r>
      <w:r w:rsidR="00BB1D98" w:rsidRPr="001C0781">
        <w:rPr>
          <w:rFonts w:asciiTheme="minorHAnsi" w:hAnsiTheme="minorHAnsi"/>
          <w:sz w:val="22"/>
          <w:szCs w:val="22"/>
        </w:rPr>
        <w:t>201/2012 Sb., o ochraně ovzduší</w:t>
      </w:r>
      <w:r w:rsidRPr="001C0781">
        <w:rPr>
          <w:rFonts w:asciiTheme="minorHAnsi" w:hAnsiTheme="minorHAnsi"/>
          <w:sz w:val="22"/>
          <w:szCs w:val="22"/>
        </w:rPr>
        <w:t>, zákon č.</w:t>
      </w:r>
      <w:r w:rsidR="007D28DC" w:rsidRPr="001C0781">
        <w:rPr>
          <w:rFonts w:asciiTheme="minorHAnsi" w:hAnsiTheme="minorHAnsi"/>
          <w:sz w:val="22"/>
          <w:szCs w:val="22"/>
        </w:rPr>
        <w:t> </w:t>
      </w:r>
      <w:r w:rsidRPr="001C0781">
        <w:rPr>
          <w:rFonts w:asciiTheme="minorHAnsi" w:hAnsiTheme="minorHAnsi"/>
          <w:sz w:val="22"/>
          <w:szCs w:val="22"/>
        </w:rPr>
        <w:t>263/2016 Sb., atomový zákon</w:t>
      </w:r>
      <w:r w:rsidR="00DD03B4" w:rsidRPr="001C0781">
        <w:rPr>
          <w:rFonts w:asciiTheme="minorHAnsi" w:hAnsiTheme="minorHAnsi"/>
          <w:sz w:val="22"/>
          <w:szCs w:val="22"/>
        </w:rPr>
        <w:t>, zákon č. 225/2017 Sb., kterým se mění zákon č. 183/2006 Sb., o územním plánování a stavebním řádu a zákon č. 326/2017 Sb., kterým se mění zákon č. 100/2001 Sb., o posuzování vlivů na životní prostředí</w:t>
      </w:r>
      <w:r w:rsidRPr="001C0781">
        <w:rPr>
          <w:rFonts w:asciiTheme="minorHAnsi" w:hAnsiTheme="minorHAnsi"/>
          <w:sz w:val="22"/>
          <w:szCs w:val="22"/>
        </w:rPr>
        <w:t>. Kromě těchto právních úprav byl</w:t>
      </w:r>
      <w:r w:rsidR="00DD03B4" w:rsidRPr="001C0781">
        <w:rPr>
          <w:rFonts w:asciiTheme="minorHAnsi" w:hAnsiTheme="minorHAnsi"/>
          <w:sz w:val="22"/>
          <w:szCs w:val="22"/>
        </w:rPr>
        <w:t xml:space="preserve">y novelizovány </w:t>
      </w:r>
      <w:r w:rsidR="001C0781">
        <w:rPr>
          <w:rFonts w:asciiTheme="minorHAnsi" w:hAnsiTheme="minorHAnsi"/>
          <w:sz w:val="22"/>
          <w:szCs w:val="22"/>
        </w:rPr>
        <w:t xml:space="preserve">i </w:t>
      </w:r>
      <w:r w:rsidR="00DD03B4" w:rsidRPr="001C0781">
        <w:rPr>
          <w:rFonts w:asciiTheme="minorHAnsi" w:hAnsiTheme="minorHAnsi"/>
          <w:sz w:val="22"/>
          <w:szCs w:val="22"/>
        </w:rPr>
        <w:t>související prováděcí právní</w:t>
      </w:r>
      <w:r w:rsidRPr="001C0781">
        <w:rPr>
          <w:rFonts w:asciiTheme="minorHAnsi" w:hAnsiTheme="minorHAnsi"/>
          <w:sz w:val="22"/>
          <w:szCs w:val="22"/>
        </w:rPr>
        <w:t xml:space="preserve"> </w:t>
      </w:r>
      <w:r w:rsidR="00DD03B4" w:rsidRPr="001C0781">
        <w:rPr>
          <w:rFonts w:asciiTheme="minorHAnsi" w:hAnsiTheme="minorHAnsi"/>
          <w:sz w:val="22"/>
          <w:szCs w:val="22"/>
        </w:rPr>
        <w:t xml:space="preserve">předpisy a byl </w:t>
      </w:r>
      <w:r w:rsidRPr="001C0781">
        <w:rPr>
          <w:rFonts w:asciiTheme="minorHAnsi" w:hAnsiTheme="minorHAnsi"/>
          <w:sz w:val="22"/>
          <w:szCs w:val="22"/>
        </w:rPr>
        <w:t>připraven rovněž návrh</w:t>
      </w:r>
      <w:r w:rsidR="00DD03B4" w:rsidRPr="001C0781">
        <w:rPr>
          <w:rFonts w:asciiTheme="minorHAnsi" w:hAnsiTheme="minorHAnsi"/>
          <w:sz w:val="22"/>
          <w:szCs w:val="22"/>
        </w:rPr>
        <w:t xml:space="preserve"> nového</w:t>
      </w:r>
      <w:r w:rsidRPr="001C0781">
        <w:rPr>
          <w:rFonts w:asciiTheme="minorHAnsi" w:hAnsiTheme="minorHAnsi"/>
          <w:sz w:val="22"/>
          <w:szCs w:val="22"/>
        </w:rPr>
        <w:t xml:space="preserve"> zákona o</w:t>
      </w:r>
      <w:r w:rsidR="00DD03B4" w:rsidRPr="001C0781">
        <w:rPr>
          <w:rFonts w:asciiTheme="minorHAnsi" w:hAnsiTheme="minorHAnsi"/>
          <w:sz w:val="22"/>
          <w:szCs w:val="22"/>
        </w:rPr>
        <w:t> </w:t>
      </w:r>
      <w:r w:rsidRPr="001C0781">
        <w:rPr>
          <w:rFonts w:asciiTheme="minorHAnsi" w:hAnsiTheme="minorHAnsi"/>
          <w:sz w:val="22"/>
          <w:szCs w:val="22"/>
        </w:rPr>
        <w:t>odpadech, kter</w:t>
      </w:r>
      <w:r w:rsidR="00DD03B4" w:rsidRPr="001C0781">
        <w:rPr>
          <w:rFonts w:asciiTheme="minorHAnsi" w:hAnsiTheme="minorHAnsi"/>
          <w:sz w:val="22"/>
          <w:szCs w:val="22"/>
        </w:rPr>
        <w:t>ý</w:t>
      </w:r>
      <w:r w:rsidR="001C0781" w:rsidRPr="001C0781">
        <w:rPr>
          <w:rFonts w:asciiTheme="minorHAnsi" w:hAnsiTheme="minorHAnsi"/>
          <w:sz w:val="22"/>
          <w:szCs w:val="22"/>
        </w:rPr>
        <w:t xml:space="preserve"> však musel být následně upraven v návaznosti na nově přijatou evropskou legislativu, a znovu tak bude muset projít meziresortním připomínkovým řízením</w:t>
      </w:r>
      <w:r w:rsidRPr="001C0781">
        <w:rPr>
          <w:rFonts w:asciiTheme="minorHAnsi" w:hAnsiTheme="minorHAnsi"/>
          <w:sz w:val="22"/>
          <w:szCs w:val="22"/>
        </w:rPr>
        <w:t>.</w:t>
      </w:r>
      <w:r w:rsidR="001C0781" w:rsidRPr="001C0781">
        <w:rPr>
          <w:rFonts w:asciiTheme="minorHAnsi" w:hAnsiTheme="minorHAnsi"/>
          <w:sz w:val="22"/>
          <w:szCs w:val="22"/>
        </w:rPr>
        <w:t xml:space="preserve"> V návaznosti na vydaná rozhodnutí Evropské komise je pak připravována novela zákona o podporovaných zdrojích energie.</w:t>
      </w:r>
      <w:r w:rsidRPr="001C0781">
        <w:rPr>
          <w:rFonts w:asciiTheme="minorHAnsi" w:hAnsiTheme="minorHAnsi"/>
          <w:sz w:val="22"/>
          <w:szCs w:val="22"/>
        </w:rPr>
        <w:t xml:space="preserve"> Konkrétní detaily plnění jednotlivých legislativních nástrojů jsou uvedeny v následujících kartách.</w:t>
      </w:r>
    </w:p>
    <w:tbl>
      <w:tblPr>
        <w:tblStyle w:val="Mkatabulky"/>
        <w:tblW w:w="4959" w:type="pct"/>
        <w:tblLook w:val="04A0" w:firstRow="1" w:lastRow="0" w:firstColumn="1" w:lastColumn="0" w:noHBand="0" w:noVBand="1"/>
      </w:tblPr>
      <w:tblGrid>
        <w:gridCol w:w="1535"/>
        <w:gridCol w:w="7677"/>
      </w:tblGrid>
      <w:tr w:rsidR="006B443D" w:rsidRPr="006B443D" w14:paraId="147FB299" w14:textId="77777777" w:rsidTr="00D1501A">
        <w:tc>
          <w:tcPr>
            <w:tcW w:w="833" w:type="pct"/>
            <w:shd w:val="clear" w:color="auto" w:fill="DBE5F1" w:themeFill="accent1" w:themeFillTint="33"/>
            <w:vAlign w:val="center"/>
          </w:tcPr>
          <w:p w14:paraId="49E820F3" w14:textId="77777777" w:rsidR="006B443D" w:rsidRPr="006B443D" w:rsidRDefault="006B443D" w:rsidP="002C5FC9">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6944EE87" w14:textId="77777777" w:rsidR="006B443D" w:rsidRPr="006B443D" w:rsidRDefault="00B2037C" w:rsidP="002C5FC9">
            <w:pPr>
              <w:keepNext/>
              <w:spacing w:before="120" w:after="120"/>
              <w:jc w:val="both"/>
              <w:rPr>
                <w:rFonts w:asciiTheme="minorHAnsi" w:hAnsiTheme="minorHAnsi"/>
                <w:b/>
                <w:sz w:val="22"/>
                <w:szCs w:val="22"/>
              </w:rPr>
            </w:pPr>
            <w:r>
              <w:rPr>
                <w:rFonts w:asciiTheme="minorHAnsi" w:hAnsiTheme="minorHAnsi"/>
                <w:b/>
                <w:sz w:val="22"/>
                <w:szCs w:val="22"/>
              </w:rPr>
              <w:t>N</w:t>
            </w:r>
            <w:r w:rsidRPr="00B2037C">
              <w:rPr>
                <w:rFonts w:asciiTheme="minorHAnsi" w:hAnsiTheme="minorHAnsi"/>
                <w:b/>
                <w:sz w:val="22"/>
                <w:szCs w:val="22"/>
              </w:rPr>
              <w:t>ávrh novelizace energetického zákona</w:t>
            </w:r>
          </w:p>
        </w:tc>
      </w:tr>
      <w:tr w:rsidR="006B443D" w:rsidRPr="006B443D" w14:paraId="3627282E" w14:textId="77777777" w:rsidTr="00710291">
        <w:tc>
          <w:tcPr>
            <w:tcW w:w="833" w:type="pct"/>
            <w:vAlign w:val="center"/>
          </w:tcPr>
          <w:p w14:paraId="01F34D3C" w14:textId="77777777" w:rsidR="006B443D" w:rsidRPr="006B443D" w:rsidRDefault="006B443D"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6DE6AC5E" w14:textId="77777777" w:rsidR="00B2037C" w:rsidRPr="00B2037C" w:rsidRDefault="00B2037C" w:rsidP="00B2037C">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2037C">
              <w:rPr>
                <w:rFonts w:asciiTheme="minorHAnsi" w:hAnsiTheme="minorHAnsi"/>
                <w:sz w:val="22"/>
                <w:szCs w:val="22"/>
              </w:rPr>
              <w:t>Rozšíření povinností OTE v oblasti provádění a zveřejňování energetických statistik a prognóz, a v oblasti analýz vývoje energetiky prováděných pro potřeby státu. Rozšíření pravomocí OTE na získání příslušných dat pro uvedené analýzy od účastníků trhu (obchodníci, zákazníci, PDS, PPS, apod.).</w:t>
            </w:r>
          </w:p>
          <w:p w14:paraId="456F8D7C" w14:textId="77777777" w:rsidR="00B2037C" w:rsidRPr="00B2037C" w:rsidRDefault="00B2037C" w:rsidP="00B2037C">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2037C">
              <w:rPr>
                <w:rFonts w:asciiTheme="minorHAnsi" w:hAnsiTheme="minorHAnsi"/>
                <w:sz w:val="22"/>
                <w:szCs w:val="22"/>
              </w:rPr>
              <w:t>Zpřesnění definic technické infrastruktury.</w:t>
            </w:r>
          </w:p>
          <w:p w14:paraId="639397D9" w14:textId="77777777" w:rsidR="00B2037C" w:rsidRPr="00B2037C" w:rsidRDefault="00B2037C" w:rsidP="00B2037C">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2037C">
              <w:rPr>
                <w:rFonts w:asciiTheme="minorHAnsi" w:hAnsiTheme="minorHAnsi"/>
                <w:sz w:val="22"/>
                <w:szCs w:val="22"/>
              </w:rPr>
              <w:t>Prověření rozsahu a úplnosti zmocňovacích ustanovení pro sekundární legislativu.</w:t>
            </w:r>
          </w:p>
          <w:p w14:paraId="30355CD0" w14:textId="77777777" w:rsidR="00B2037C" w:rsidRPr="00B2037C" w:rsidRDefault="00B2037C" w:rsidP="00B2037C">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2037C">
              <w:rPr>
                <w:rFonts w:asciiTheme="minorHAnsi" w:hAnsiTheme="minorHAnsi"/>
                <w:sz w:val="22"/>
                <w:szCs w:val="22"/>
              </w:rPr>
              <w:t>Upravit postavení ERÚ a závaznost Státní energetické koncepce pro výkon regulace energetických odvětví. Zajistit nezávislou kontrolu činností ERÚ.</w:t>
            </w:r>
          </w:p>
          <w:p w14:paraId="0A367082" w14:textId="77777777" w:rsidR="00B2037C" w:rsidRPr="00B2037C" w:rsidRDefault="00B2037C" w:rsidP="00B2037C">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2037C">
              <w:rPr>
                <w:rFonts w:asciiTheme="minorHAnsi" w:hAnsiTheme="minorHAnsi"/>
                <w:sz w:val="22"/>
                <w:szCs w:val="22"/>
              </w:rPr>
              <w:t xml:space="preserve">Zpřesnit podmínky pro vydávání autorizací jako účinného nástroje pro realizaci </w:t>
            </w:r>
            <w:r w:rsidRPr="00B2037C">
              <w:rPr>
                <w:rFonts w:asciiTheme="minorHAnsi" w:hAnsiTheme="minorHAnsi"/>
                <w:sz w:val="22"/>
                <w:szCs w:val="22"/>
              </w:rPr>
              <w:lastRenderedPageBreak/>
              <w:t>cílů Státní energetické koncepce.</w:t>
            </w:r>
          </w:p>
          <w:p w14:paraId="6586CFA4" w14:textId="77777777" w:rsidR="00B2037C" w:rsidRPr="00B2037C" w:rsidRDefault="00B2037C" w:rsidP="00B2037C">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2037C">
              <w:rPr>
                <w:rFonts w:asciiTheme="minorHAnsi" w:hAnsiTheme="minorHAnsi"/>
                <w:sz w:val="22"/>
                <w:szCs w:val="22"/>
              </w:rPr>
              <w:t>Zjednodušení administrativy při výstavbě a připojování nových zdrojů.</w:t>
            </w:r>
          </w:p>
          <w:p w14:paraId="7FD8AB0E" w14:textId="77777777" w:rsidR="006B443D" w:rsidRPr="006B443D" w:rsidRDefault="00B2037C" w:rsidP="00B2037C">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2037C">
              <w:rPr>
                <w:rFonts w:asciiTheme="minorHAnsi" w:hAnsiTheme="minorHAnsi"/>
                <w:sz w:val="22"/>
                <w:szCs w:val="22"/>
              </w:rPr>
              <w:t>Zpřesnění legislativního rámce pro regulaci s cílem dlouhodobé legislativně-regulatorní stability sektoru.</w:t>
            </w:r>
          </w:p>
        </w:tc>
      </w:tr>
      <w:tr w:rsidR="006B443D" w:rsidRPr="006B443D" w14:paraId="20D1C974" w14:textId="77777777" w:rsidTr="00710291">
        <w:tc>
          <w:tcPr>
            <w:tcW w:w="833" w:type="pct"/>
            <w:vAlign w:val="center"/>
          </w:tcPr>
          <w:p w14:paraId="173D3C5D" w14:textId="77777777" w:rsidR="006B443D" w:rsidRPr="006B443D" w:rsidRDefault="006B443D" w:rsidP="00710291">
            <w:pPr>
              <w:jc w:val="center"/>
              <w:rPr>
                <w:rFonts w:asciiTheme="minorHAnsi" w:hAnsiTheme="minorHAnsi"/>
                <w:b/>
                <w:sz w:val="22"/>
                <w:szCs w:val="22"/>
              </w:rPr>
            </w:pPr>
            <w:r w:rsidRPr="006B443D">
              <w:rPr>
                <w:rFonts w:asciiTheme="minorHAnsi" w:hAnsiTheme="minorHAnsi"/>
                <w:b/>
                <w:sz w:val="22"/>
                <w:szCs w:val="22"/>
              </w:rPr>
              <w:lastRenderedPageBreak/>
              <w:t>Gesce</w:t>
            </w:r>
          </w:p>
        </w:tc>
        <w:tc>
          <w:tcPr>
            <w:tcW w:w="4167" w:type="pct"/>
            <w:vAlign w:val="center"/>
          </w:tcPr>
          <w:p w14:paraId="2341727C" w14:textId="77777777" w:rsidR="006B443D" w:rsidRPr="006B443D" w:rsidRDefault="00B2037C" w:rsidP="00B2037C">
            <w:pPr>
              <w:spacing w:before="120" w:after="120"/>
              <w:jc w:val="both"/>
              <w:rPr>
                <w:rFonts w:asciiTheme="minorHAnsi" w:hAnsiTheme="minorHAnsi"/>
                <w:sz w:val="22"/>
                <w:szCs w:val="22"/>
              </w:rPr>
            </w:pPr>
            <w:r w:rsidRPr="00B2037C">
              <w:rPr>
                <w:rFonts w:asciiTheme="minorHAnsi" w:hAnsiTheme="minorHAnsi"/>
                <w:sz w:val="22"/>
                <w:szCs w:val="22"/>
              </w:rPr>
              <w:t>MPO, ERÚ</w:t>
            </w:r>
          </w:p>
        </w:tc>
      </w:tr>
      <w:tr w:rsidR="006B443D" w:rsidRPr="006B443D" w14:paraId="2B684644" w14:textId="77777777" w:rsidTr="00710291">
        <w:tc>
          <w:tcPr>
            <w:tcW w:w="833" w:type="pct"/>
            <w:vAlign w:val="center"/>
          </w:tcPr>
          <w:p w14:paraId="2B2A28C8" w14:textId="77777777" w:rsidR="006B443D" w:rsidRPr="006B443D" w:rsidRDefault="006B443D"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0B6B38A2" w14:textId="77777777" w:rsidR="006B443D" w:rsidRPr="006B443D" w:rsidRDefault="00B2037C" w:rsidP="00B2037C">
            <w:pPr>
              <w:spacing w:before="120" w:after="120"/>
              <w:jc w:val="both"/>
              <w:rPr>
                <w:rFonts w:asciiTheme="minorHAnsi" w:hAnsiTheme="minorHAnsi"/>
                <w:sz w:val="22"/>
                <w:szCs w:val="22"/>
              </w:rPr>
            </w:pPr>
            <w:r w:rsidRPr="00B2037C">
              <w:rPr>
                <w:rFonts w:asciiTheme="minorHAnsi" w:hAnsiTheme="minorHAnsi"/>
                <w:sz w:val="22"/>
                <w:szCs w:val="22"/>
              </w:rPr>
              <w:t>31.</w:t>
            </w:r>
            <w:r>
              <w:rPr>
                <w:rFonts w:asciiTheme="minorHAnsi" w:hAnsiTheme="minorHAnsi"/>
                <w:sz w:val="22"/>
                <w:szCs w:val="22"/>
              </w:rPr>
              <w:t xml:space="preserve"> </w:t>
            </w:r>
            <w:r w:rsidRPr="00B2037C">
              <w:rPr>
                <w:rFonts w:asciiTheme="minorHAnsi" w:hAnsiTheme="minorHAnsi"/>
                <w:sz w:val="22"/>
                <w:szCs w:val="22"/>
              </w:rPr>
              <w:t>12.</w:t>
            </w:r>
            <w:r>
              <w:rPr>
                <w:rFonts w:asciiTheme="minorHAnsi" w:hAnsiTheme="minorHAnsi"/>
                <w:sz w:val="22"/>
                <w:szCs w:val="22"/>
              </w:rPr>
              <w:t xml:space="preserve"> </w:t>
            </w:r>
            <w:r w:rsidRPr="00B2037C">
              <w:rPr>
                <w:rFonts w:asciiTheme="minorHAnsi" w:hAnsiTheme="minorHAnsi"/>
                <w:sz w:val="22"/>
                <w:szCs w:val="22"/>
              </w:rPr>
              <w:t>2015</w:t>
            </w:r>
          </w:p>
        </w:tc>
      </w:tr>
      <w:tr w:rsidR="006B443D" w:rsidRPr="006B443D" w14:paraId="4053AF05" w14:textId="77777777" w:rsidTr="002C5FC9">
        <w:trPr>
          <w:cantSplit/>
        </w:trPr>
        <w:tc>
          <w:tcPr>
            <w:tcW w:w="833" w:type="pct"/>
            <w:vAlign w:val="center"/>
          </w:tcPr>
          <w:p w14:paraId="5A5C6702" w14:textId="77777777" w:rsidR="006B443D" w:rsidRPr="006B443D" w:rsidRDefault="006B443D"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25E89C6F" w14:textId="77777777" w:rsidR="00B2037C" w:rsidRPr="00B2037C" w:rsidRDefault="00B2037C" w:rsidP="00B2037C">
            <w:pPr>
              <w:overflowPunct w:val="0"/>
              <w:autoSpaceDE w:val="0"/>
              <w:autoSpaceDN w:val="0"/>
              <w:adjustRightInd w:val="0"/>
              <w:spacing w:before="120" w:after="120"/>
              <w:jc w:val="both"/>
              <w:textAlignment w:val="baseline"/>
              <w:rPr>
                <w:rFonts w:asciiTheme="minorHAnsi" w:hAnsiTheme="minorHAnsi"/>
                <w:b/>
                <w:sz w:val="22"/>
                <w:szCs w:val="22"/>
              </w:rPr>
            </w:pPr>
            <w:r w:rsidRPr="00B2037C">
              <w:rPr>
                <w:rFonts w:asciiTheme="minorHAnsi" w:hAnsiTheme="minorHAnsi"/>
                <w:b/>
                <w:sz w:val="22"/>
                <w:szCs w:val="22"/>
              </w:rPr>
              <w:t>Splněno</w:t>
            </w:r>
          </w:p>
          <w:p w14:paraId="67C60698" w14:textId="47C80C67" w:rsidR="00B2037C" w:rsidRPr="00B2037C" w:rsidRDefault="005A4B4B" w:rsidP="00B2037C">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Dne 5. června 2015 b</w:t>
            </w:r>
            <w:r w:rsidR="00B2037C" w:rsidRPr="00B2037C">
              <w:rPr>
                <w:rFonts w:asciiTheme="minorHAnsi" w:hAnsiTheme="minorHAnsi"/>
                <w:sz w:val="22"/>
                <w:szCs w:val="22"/>
              </w:rPr>
              <w:t>yl vydán zákon č. 131/2015 Sb., kterým se mění zákon č.</w:t>
            </w:r>
            <w:r>
              <w:rPr>
                <w:rFonts w:asciiTheme="minorHAnsi" w:hAnsiTheme="minorHAnsi"/>
                <w:sz w:val="22"/>
                <w:szCs w:val="22"/>
              </w:rPr>
              <w:t xml:space="preserve"> </w:t>
            </w:r>
            <w:r w:rsidR="00B2037C" w:rsidRPr="00B2037C">
              <w:rPr>
                <w:rFonts w:asciiTheme="minorHAnsi" w:hAnsiTheme="minorHAnsi"/>
                <w:sz w:val="22"/>
                <w:szCs w:val="22"/>
              </w:rPr>
              <w:t>458/2000 Sb., o</w:t>
            </w:r>
            <w:r w:rsidR="007D28DC">
              <w:rPr>
                <w:rFonts w:asciiTheme="minorHAnsi" w:hAnsiTheme="minorHAnsi"/>
                <w:sz w:val="22"/>
                <w:szCs w:val="22"/>
              </w:rPr>
              <w:t> </w:t>
            </w:r>
            <w:r w:rsidR="00B2037C" w:rsidRPr="00B2037C">
              <w:rPr>
                <w:rFonts w:asciiTheme="minorHAnsi" w:hAnsiTheme="minorHAnsi"/>
                <w:sz w:val="22"/>
                <w:szCs w:val="22"/>
              </w:rPr>
              <w:t>podmínkách podnikání a o výkonu státní správy v energetických odvětvích, s</w:t>
            </w:r>
            <w:r w:rsidR="00AD1FD7">
              <w:rPr>
                <w:rFonts w:asciiTheme="minorHAnsi" w:hAnsiTheme="minorHAnsi"/>
                <w:sz w:val="22"/>
                <w:szCs w:val="22"/>
              </w:rPr>
              <w:t> </w:t>
            </w:r>
            <w:r w:rsidR="00B2037C" w:rsidRPr="00B2037C">
              <w:rPr>
                <w:rFonts w:asciiTheme="minorHAnsi" w:hAnsiTheme="minorHAnsi"/>
                <w:sz w:val="22"/>
                <w:szCs w:val="22"/>
              </w:rPr>
              <w:t>účinností od 1. ledna 2016.</w:t>
            </w:r>
          </w:p>
          <w:p w14:paraId="32F7DEDE" w14:textId="77777777" w:rsidR="00B2037C" w:rsidRPr="00B2037C" w:rsidRDefault="00B2037C" w:rsidP="00B2037C">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2037C">
              <w:rPr>
                <w:rFonts w:asciiTheme="minorHAnsi" w:hAnsiTheme="minorHAnsi"/>
                <w:sz w:val="22"/>
                <w:szCs w:val="22"/>
              </w:rPr>
              <w:t xml:space="preserve">Při přípravě novely došlo, stejně jako při každé novelizaci energetického zákona, k prověření rozsahu a úplnosti </w:t>
            </w:r>
            <w:r>
              <w:rPr>
                <w:rFonts w:asciiTheme="minorHAnsi" w:hAnsiTheme="minorHAnsi"/>
                <w:sz w:val="22"/>
                <w:szCs w:val="22"/>
              </w:rPr>
              <w:t xml:space="preserve">všech </w:t>
            </w:r>
            <w:r w:rsidRPr="00B2037C">
              <w:rPr>
                <w:rFonts w:asciiTheme="minorHAnsi" w:hAnsiTheme="minorHAnsi"/>
                <w:sz w:val="22"/>
                <w:szCs w:val="22"/>
              </w:rPr>
              <w:t>zmocňovacích ustanovení pro sekundární legislativu.</w:t>
            </w:r>
          </w:p>
          <w:p w14:paraId="6A2DC8D5" w14:textId="2132165D" w:rsidR="00B2037C" w:rsidRPr="00B2037C" w:rsidRDefault="00B2037C" w:rsidP="00B2037C">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2037C">
              <w:rPr>
                <w:rFonts w:asciiTheme="minorHAnsi" w:hAnsiTheme="minorHAnsi"/>
                <w:sz w:val="22"/>
                <w:szCs w:val="22"/>
              </w:rPr>
              <w:t>V rámci novely byla upravena ustanovení týkající se povinností a práv Operátora trhu (§ 20a odst. 4 a odst. 5), kdy společnost OTE, a.s., má povinnost zpracovávat na základě požadavku MPO nebo ERÚ analýzy týkající se budoucí očekávané spotřeby elektřiny a plynu, vývoje trhu s elektřinou a plynem, způsobů zabezpečení dodávek elektřiny a plynu a rozvoje zdrojů a právo na údaje nezbytné pro plnění svých povinností od subjektů zúčtování a účastníků trhu s elektřinou nebo trhu s plynem a údaje nezbytné pro zpracování zprávy o</w:t>
            </w:r>
            <w:r w:rsidR="007D28DC">
              <w:rPr>
                <w:rFonts w:asciiTheme="minorHAnsi" w:hAnsiTheme="minorHAnsi"/>
                <w:sz w:val="22"/>
                <w:szCs w:val="22"/>
              </w:rPr>
              <w:t> </w:t>
            </w:r>
            <w:r w:rsidRPr="00B2037C">
              <w:rPr>
                <w:rFonts w:asciiTheme="minorHAnsi" w:hAnsiTheme="minorHAnsi"/>
                <w:sz w:val="22"/>
                <w:szCs w:val="22"/>
              </w:rPr>
              <w:t>budoucí očekávané spotřebě elektřiny a plynu a o zabezpečení rovnováhy mezi nabídkou a poptávkou elektřiny a plynu.</w:t>
            </w:r>
          </w:p>
          <w:p w14:paraId="797E7994" w14:textId="77777777" w:rsidR="00B2037C" w:rsidRPr="00B2037C" w:rsidRDefault="00B2037C" w:rsidP="00B2037C">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2037C">
              <w:rPr>
                <w:rFonts w:asciiTheme="minorHAnsi" w:hAnsiTheme="minorHAnsi"/>
                <w:sz w:val="22"/>
                <w:szCs w:val="22"/>
              </w:rPr>
              <w:t>Dále byly zpřesněny definice týkající se infrastruktury v oblasti plynárenství, podmínky pro vydávání státních autorizací, kdy byla sta</w:t>
            </w:r>
            <w:r>
              <w:rPr>
                <w:rFonts w:asciiTheme="minorHAnsi" w:hAnsiTheme="minorHAnsi"/>
                <w:sz w:val="22"/>
                <w:szCs w:val="22"/>
              </w:rPr>
              <w:t>novena také nutnost souladu se s</w:t>
            </w:r>
            <w:r w:rsidRPr="00B2037C">
              <w:rPr>
                <w:rFonts w:asciiTheme="minorHAnsi" w:hAnsiTheme="minorHAnsi"/>
                <w:sz w:val="22"/>
                <w:szCs w:val="22"/>
              </w:rPr>
              <w:t xml:space="preserve">tátní energetickou koncepcí, (§ 30a odst. 3 a odst. 4), upraven průběh konzultačního procesu návrhů opatření </w:t>
            </w:r>
            <w:r>
              <w:rPr>
                <w:rFonts w:asciiTheme="minorHAnsi" w:hAnsiTheme="minorHAnsi"/>
                <w:sz w:val="22"/>
                <w:szCs w:val="22"/>
              </w:rPr>
              <w:t>a</w:t>
            </w:r>
            <w:r w:rsidRPr="00B2037C">
              <w:rPr>
                <w:rFonts w:asciiTheme="minorHAnsi" w:hAnsiTheme="minorHAnsi"/>
                <w:sz w:val="22"/>
                <w:szCs w:val="22"/>
              </w:rPr>
              <w:t xml:space="preserve"> postupů ERÚ při výkonu jeho působnosti (§ 17e odst. 4 až odst. 12) a zpřesněn legislativní rámec pro regulaci cen souvisejících služeb v elektroenergetice a plynárenství (§ 19a odst. 1).</w:t>
            </w:r>
          </w:p>
          <w:p w14:paraId="040B19AE" w14:textId="77777777" w:rsidR="00B2037C" w:rsidRPr="00B2037C" w:rsidRDefault="00B2037C" w:rsidP="00B2037C">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2037C">
              <w:rPr>
                <w:rFonts w:asciiTheme="minorHAnsi" w:hAnsiTheme="minorHAnsi"/>
                <w:sz w:val="22"/>
                <w:szCs w:val="22"/>
              </w:rPr>
              <w:t>Administrativa při výstavbě a připojování nových zdrojů byla zjednodušena pro zdroje s instalovaným výkonem do 10 kW (§ 28 odst. 5 ve vazbě na § 3, odst. 3).</w:t>
            </w:r>
          </w:p>
          <w:p w14:paraId="38E4E5E1" w14:textId="1CD85EB3" w:rsidR="003778CB" w:rsidRPr="003778CB" w:rsidRDefault="003778CB" w:rsidP="006A1F32">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3778CB">
              <w:rPr>
                <w:rFonts w:asciiTheme="minorHAnsi" w:hAnsiTheme="minorHAnsi"/>
                <w:sz w:val="22"/>
                <w:szCs w:val="22"/>
              </w:rPr>
              <w:t>Dne 4. května 2015 byl vydán zákon č. 103/2015 Sb., kterým se mění zákon č.</w:t>
            </w:r>
            <w:r w:rsidR="006A1F32">
              <w:rPr>
                <w:rFonts w:asciiTheme="minorHAnsi" w:hAnsiTheme="minorHAnsi"/>
                <w:sz w:val="22"/>
                <w:szCs w:val="22"/>
              </w:rPr>
              <w:t> </w:t>
            </w:r>
            <w:r w:rsidRPr="003778CB">
              <w:rPr>
                <w:rFonts w:asciiTheme="minorHAnsi" w:hAnsiTheme="minorHAnsi"/>
                <w:sz w:val="22"/>
                <w:szCs w:val="22"/>
              </w:rPr>
              <w:t>406/2000 Sb., o hospo</w:t>
            </w:r>
            <w:r w:rsidR="006A1F32">
              <w:rPr>
                <w:rFonts w:asciiTheme="minorHAnsi" w:hAnsiTheme="minorHAnsi"/>
                <w:sz w:val="22"/>
                <w:szCs w:val="22"/>
              </w:rPr>
              <w:t>daření energií, a který mimo jiné stanovuje</w:t>
            </w:r>
            <w:r w:rsidRPr="003778CB">
              <w:rPr>
                <w:rFonts w:asciiTheme="minorHAnsi" w:hAnsiTheme="minorHAnsi"/>
                <w:sz w:val="22"/>
                <w:szCs w:val="22"/>
              </w:rPr>
              <w:t xml:space="preserve"> závaznost státní energetické koncepce pro výkon státní správy v oblasti nakládání s energií (§ 3 odst. 2).</w:t>
            </w:r>
          </w:p>
        </w:tc>
      </w:tr>
    </w:tbl>
    <w:p w14:paraId="656E3B31" w14:textId="77777777" w:rsidR="00273523" w:rsidRDefault="00273523">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B2037C" w:rsidRPr="006B443D" w14:paraId="12842239" w14:textId="77777777" w:rsidTr="00D1501A">
        <w:tc>
          <w:tcPr>
            <w:tcW w:w="833" w:type="pct"/>
            <w:shd w:val="clear" w:color="auto" w:fill="DBE5F1" w:themeFill="accent1" w:themeFillTint="33"/>
            <w:vAlign w:val="center"/>
          </w:tcPr>
          <w:p w14:paraId="50E1A19D" w14:textId="77777777" w:rsidR="00B2037C" w:rsidRPr="006B443D" w:rsidRDefault="00B2037C" w:rsidP="002C5FC9">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7B01E391" w14:textId="77777777" w:rsidR="00B2037C" w:rsidRPr="006B443D" w:rsidRDefault="00B2037C" w:rsidP="002C5FC9">
            <w:pPr>
              <w:keepNext/>
              <w:spacing w:before="120" w:after="120"/>
              <w:jc w:val="both"/>
              <w:rPr>
                <w:rFonts w:asciiTheme="minorHAnsi" w:hAnsiTheme="minorHAnsi"/>
                <w:b/>
                <w:sz w:val="22"/>
                <w:szCs w:val="22"/>
              </w:rPr>
            </w:pPr>
            <w:r w:rsidRPr="00B2037C">
              <w:rPr>
                <w:rFonts w:asciiTheme="minorHAnsi" w:hAnsiTheme="minorHAnsi"/>
                <w:b/>
                <w:sz w:val="22"/>
                <w:szCs w:val="22"/>
              </w:rPr>
              <w:t>Návrh novelizace zákona o podporovaných zdrojích energie</w:t>
            </w:r>
          </w:p>
        </w:tc>
      </w:tr>
      <w:tr w:rsidR="00B2037C" w:rsidRPr="006B443D" w14:paraId="6C9F4160" w14:textId="77777777" w:rsidTr="00710291">
        <w:tc>
          <w:tcPr>
            <w:tcW w:w="833" w:type="pct"/>
            <w:vAlign w:val="center"/>
          </w:tcPr>
          <w:p w14:paraId="72219196" w14:textId="77777777" w:rsidR="00B2037C" w:rsidRPr="006B443D" w:rsidRDefault="00B2037C"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0CDB2021" w14:textId="6197BEAF" w:rsidR="00B2037C" w:rsidRPr="00B2037C" w:rsidRDefault="00B2037C" w:rsidP="00B2037C">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2037C">
              <w:rPr>
                <w:rFonts w:asciiTheme="minorHAnsi" w:hAnsiTheme="minorHAnsi"/>
                <w:sz w:val="22"/>
                <w:szCs w:val="22"/>
              </w:rPr>
              <w:t>Stanovení mechanismu zajištění finančních zdrojů pro úhradu nákladů na podporu OZE mimo ceny elektřiny (například využití poplatků a daní v</w:t>
            </w:r>
            <w:r w:rsidR="007D28DC">
              <w:rPr>
                <w:rFonts w:asciiTheme="minorHAnsi" w:hAnsiTheme="minorHAnsi"/>
                <w:sz w:val="22"/>
                <w:szCs w:val="22"/>
              </w:rPr>
              <w:t> </w:t>
            </w:r>
            <w:r w:rsidRPr="00B2037C">
              <w:rPr>
                <w:rFonts w:asciiTheme="minorHAnsi" w:hAnsiTheme="minorHAnsi"/>
                <w:sz w:val="22"/>
                <w:szCs w:val="22"/>
              </w:rPr>
              <w:t>energetice).</w:t>
            </w:r>
          </w:p>
          <w:p w14:paraId="4D6C568C" w14:textId="77777777" w:rsidR="00B2037C" w:rsidRPr="00B2037C" w:rsidRDefault="00B2037C" w:rsidP="00B2037C">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2037C">
              <w:rPr>
                <w:rFonts w:asciiTheme="minorHAnsi" w:hAnsiTheme="minorHAnsi"/>
                <w:sz w:val="22"/>
                <w:szCs w:val="22"/>
              </w:rPr>
              <w:t xml:space="preserve">Podpora nových OZE prostřednictvím aukcí, nebo tendrů na nové kapacity, anebo prostřednictvím případných vyrovnávacích plateb, nebo investiční podporou vítězům tendrů, případně způsobem obchodování </w:t>
            </w:r>
            <w:proofErr w:type="spellStart"/>
            <w:r w:rsidRPr="00B2037C">
              <w:rPr>
                <w:rFonts w:asciiTheme="minorHAnsi" w:hAnsiTheme="minorHAnsi"/>
                <w:sz w:val="22"/>
                <w:szCs w:val="22"/>
              </w:rPr>
              <w:t>net</w:t>
            </w:r>
            <w:proofErr w:type="spellEnd"/>
            <w:r w:rsidRPr="00B2037C">
              <w:rPr>
                <w:rFonts w:asciiTheme="minorHAnsi" w:hAnsiTheme="minorHAnsi"/>
                <w:sz w:val="22"/>
                <w:szCs w:val="22"/>
              </w:rPr>
              <w:t xml:space="preserve"> </w:t>
            </w:r>
            <w:proofErr w:type="spellStart"/>
            <w:r w:rsidRPr="00B2037C">
              <w:rPr>
                <w:rFonts w:asciiTheme="minorHAnsi" w:hAnsiTheme="minorHAnsi"/>
                <w:sz w:val="22"/>
                <w:szCs w:val="22"/>
              </w:rPr>
              <w:t>metering</w:t>
            </w:r>
            <w:proofErr w:type="spellEnd"/>
            <w:r w:rsidRPr="00B2037C">
              <w:rPr>
                <w:rFonts w:asciiTheme="minorHAnsi" w:hAnsiTheme="minorHAnsi"/>
                <w:sz w:val="22"/>
                <w:szCs w:val="22"/>
              </w:rPr>
              <w:t>.</w:t>
            </w:r>
          </w:p>
          <w:p w14:paraId="50411A6A" w14:textId="77777777" w:rsidR="00B2037C" w:rsidRPr="006B443D" w:rsidRDefault="00B2037C" w:rsidP="00B2037C">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2037C">
              <w:rPr>
                <w:rFonts w:asciiTheme="minorHAnsi" w:hAnsiTheme="minorHAnsi"/>
                <w:sz w:val="22"/>
                <w:szCs w:val="22"/>
              </w:rPr>
              <w:t>Zavedení korekčního mechanismu kontroly přiměřenosti rozsahu poskytované veřejné podpory v souladu s rozhodnutím Evropské unie v rámci notifikačního procesu.</w:t>
            </w:r>
          </w:p>
        </w:tc>
      </w:tr>
      <w:tr w:rsidR="00B2037C" w:rsidRPr="006B443D" w14:paraId="76913ED7" w14:textId="77777777" w:rsidTr="00710291">
        <w:tc>
          <w:tcPr>
            <w:tcW w:w="833" w:type="pct"/>
            <w:vAlign w:val="center"/>
          </w:tcPr>
          <w:p w14:paraId="349BFD28" w14:textId="77777777" w:rsidR="00B2037C" w:rsidRPr="006B443D" w:rsidRDefault="00B2037C" w:rsidP="00710291">
            <w:pPr>
              <w:jc w:val="center"/>
              <w:rPr>
                <w:rFonts w:asciiTheme="minorHAnsi" w:hAnsiTheme="minorHAnsi"/>
                <w:b/>
                <w:sz w:val="22"/>
                <w:szCs w:val="22"/>
              </w:rPr>
            </w:pPr>
            <w:r w:rsidRPr="006B443D">
              <w:rPr>
                <w:rFonts w:asciiTheme="minorHAnsi" w:hAnsiTheme="minorHAnsi"/>
                <w:b/>
                <w:sz w:val="22"/>
                <w:szCs w:val="22"/>
              </w:rPr>
              <w:lastRenderedPageBreak/>
              <w:t>Gesce</w:t>
            </w:r>
          </w:p>
        </w:tc>
        <w:tc>
          <w:tcPr>
            <w:tcW w:w="4167" w:type="pct"/>
            <w:vAlign w:val="center"/>
          </w:tcPr>
          <w:p w14:paraId="5F4BB5FB" w14:textId="77777777" w:rsidR="00B2037C" w:rsidRPr="006B443D" w:rsidRDefault="00B2037C" w:rsidP="00B2037C">
            <w:pPr>
              <w:spacing w:before="120" w:after="120"/>
              <w:jc w:val="both"/>
              <w:rPr>
                <w:rFonts w:asciiTheme="minorHAnsi" w:hAnsiTheme="minorHAnsi"/>
                <w:sz w:val="22"/>
                <w:szCs w:val="22"/>
              </w:rPr>
            </w:pPr>
            <w:r>
              <w:rPr>
                <w:rFonts w:asciiTheme="minorHAnsi" w:hAnsiTheme="minorHAnsi"/>
                <w:sz w:val="22"/>
                <w:szCs w:val="22"/>
              </w:rPr>
              <w:t>MPO</w:t>
            </w:r>
          </w:p>
        </w:tc>
      </w:tr>
      <w:tr w:rsidR="00B2037C" w:rsidRPr="006B443D" w14:paraId="3BDD660A" w14:textId="77777777" w:rsidTr="00710291">
        <w:tc>
          <w:tcPr>
            <w:tcW w:w="833" w:type="pct"/>
            <w:vAlign w:val="center"/>
          </w:tcPr>
          <w:p w14:paraId="3D24A415" w14:textId="77777777" w:rsidR="00B2037C" w:rsidRPr="006B443D" w:rsidRDefault="00B2037C"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41B79BB6" w14:textId="77777777" w:rsidR="00B2037C" w:rsidRPr="006B443D" w:rsidRDefault="00B2037C" w:rsidP="00B2037C">
            <w:pPr>
              <w:spacing w:before="120" w:after="120"/>
              <w:jc w:val="both"/>
              <w:rPr>
                <w:rFonts w:asciiTheme="minorHAnsi" w:hAnsiTheme="minorHAnsi"/>
                <w:sz w:val="22"/>
                <w:szCs w:val="22"/>
              </w:rPr>
            </w:pPr>
            <w:r>
              <w:rPr>
                <w:rFonts w:asciiTheme="minorHAnsi" w:hAnsiTheme="minorHAnsi"/>
                <w:sz w:val="22"/>
                <w:szCs w:val="22"/>
              </w:rPr>
              <w:t>31. 12. 2015</w:t>
            </w:r>
          </w:p>
        </w:tc>
      </w:tr>
      <w:tr w:rsidR="00B2037C" w:rsidRPr="006B443D" w14:paraId="541C5ACE" w14:textId="77777777" w:rsidTr="00710291">
        <w:tc>
          <w:tcPr>
            <w:tcW w:w="833" w:type="pct"/>
            <w:vAlign w:val="center"/>
          </w:tcPr>
          <w:p w14:paraId="37A06E11" w14:textId="77777777" w:rsidR="00B2037C" w:rsidRPr="006B443D" w:rsidRDefault="00B2037C"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20AB5340" w14:textId="483BBC13" w:rsidR="00B2037C" w:rsidRPr="0030112B" w:rsidRDefault="001945CD" w:rsidP="00B2037C">
            <w:pPr>
              <w:overflowPunct w:val="0"/>
              <w:autoSpaceDE w:val="0"/>
              <w:autoSpaceDN w:val="0"/>
              <w:adjustRightInd w:val="0"/>
              <w:spacing w:before="120" w:after="120"/>
              <w:jc w:val="both"/>
              <w:textAlignment w:val="baseline"/>
              <w:rPr>
                <w:rFonts w:asciiTheme="minorHAnsi" w:hAnsiTheme="minorHAnsi"/>
                <w:b/>
                <w:sz w:val="22"/>
                <w:szCs w:val="22"/>
              </w:rPr>
            </w:pPr>
            <w:r>
              <w:rPr>
                <w:rFonts w:asciiTheme="minorHAnsi" w:hAnsiTheme="minorHAnsi"/>
                <w:b/>
                <w:sz w:val="22"/>
                <w:szCs w:val="22"/>
              </w:rPr>
              <w:t>Plnění probíhá</w:t>
            </w:r>
            <w:r w:rsidR="00B2037C" w:rsidRPr="0030112B">
              <w:rPr>
                <w:rFonts w:asciiTheme="minorHAnsi" w:hAnsiTheme="minorHAnsi"/>
                <w:b/>
                <w:sz w:val="22"/>
                <w:szCs w:val="22"/>
              </w:rPr>
              <w:t xml:space="preserve"> v návaznosti na </w:t>
            </w:r>
            <w:r>
              <w:rPr>
                <w:rFonts w:asciiTheme="minorHAnsi" w:hAnsiTheme="minorHAnsi"/>
                <w:b/>
                <w:sz w:val="22"/>
                <w:szCs w:val="22"/>
              </w:rPr>
              <w:t>vydaná</w:t>
            </w:r>
            <w:r w:rsidR="00B2037C" w:rsidRPr="0030112B">
              <w:rPr>
                <w:rFonts w:asciiTheme="minorHAnsi" w:hAnsiTheme="minorHAnsi"/>
                <w:b/>
                <w:sz w:val="22"/>
                <w:szCs w:val="22"/>
              </w:rPr>
              <w:t xml:space="preserve"> rozhodnutí Evropské komise</w:t>
            </w:r>
          </w:p>
          <w:p w14:paraId="67A58641" w14:textId="3C256341" w:rsidR="00A9786E" w:rsidRPr="006B443D" w:rsidRDefault="00A9786E" w:rsidP="006E4516">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A9786E">
              <w:rPr>
                <w:rFonts w:asciiTheme="minorHAnsi" w:hAnsiTheme="minorHAnsi"/>
                <w:sz w:val="22"/>
                <w:szCs w:val="22"/>
              </w:rPr>
              <w:t>M</w:t>
            </w:r>
            <w:r>
              <w:rPr>
                <w:rFonts w:asciiTheme="minorHAnsi" w:hAnsiTheme="minorHAnsi"/>
                <w:sz w:val="22"/>
                <w:szCs w:val="22"/>
              </w:rPr>
              <w:t>PO</w:t>
            </w:r>
            <w:r w:rsidRPr="00A9786E">
              <w:rPr>
                <w:rFonts w:asciiTheme="minorHAnsi" w:hAnsiTheme="minorHAnsi"/>
                <w:sz w:val="22"/>
                <w:szCs w:val="22"/>
              </w:rPr>
              <w:t xml:space="preserve"> připravilo materiál s názvem „Závazky na zavedení mechanismu kontroly přiměřenosti podpory elektřiny z podporovaných zdrojů energie“</w:t>
            </w:r>
            <w:r>
              <w:rPr>
                <w:rFonts w:asciiTheme="minorHAnsi" w:hAnsiTheme="minorHAnsi"/>
                <w:sz w:val="22"/>
                <w:szCs w:val="22"/>
              </w:rPr>
              <w:t>, jež</w:t>
            </w:r>
            <w:r w:rsidRPr="00A9786E">
              <w:rPr>
                <w:rFonts w:asciiTheme="minorHAnsi" w:hAnsiTheme="minorHAnsi"/>
                <w:sz w:val="22"/>
                <w:szCs w:val="22"/>
              </w:rPr>
              <w:t xml:space="preserve"> obsahuje základní rámec a </w:t>
            </w:r>
            <w:r>
              <w:rPr>
                <w:rFonts w:asciiTheme="minorHAnsi" w:hAnsiTheme="minorHAnsi"/>
                <w:sz w:val="22"/>
                <w:szCs w:val="22"/>
              </w:rPr>
              <w:t xml:space="preserve">také </w:t>
            </w:r>
            <w:r w:rsidRPr="00A9786E">
              <w:rPr>
                <w:rFonts w:asciiTheme="minorHAnsi" w:hAnsiTheme="minorHAnsi"/>
                <w:sz w:val="22"/>
                <w:szCs w:val="22"/>
              </w:rPr>
              <w:t>principy provedení mechanismu kontroly přiměřenosti podpory</w:t>
            </w:r>
            <w:r>
              <w:rPr>
                <w:rFonts w:asciiTheme="minorHAnsi" w:hAnsiTheme="minorHAnsi"/>
                <w:sz w:val="22"/>
                <w:szCs w:val="22"/>
              </w:rPr>
              <w:t>, kter</w:t>
            </w:r>
            <w:r w:rsidR="001945CD">
              <w:rPr>
                <w:rFonts w:asciiTheme="minorHAnsi" w:hAnsiTheme="minorHAnsi"/>
                <w:sz w:val="22"/>
                <w:szCs w:val="22"/>
              </w:rPr>
              <w:t>é</w:t>
            </w:r>
            <w:r>
              <w:rPr>
                <w:rFonts w:asciiTheme="minorHAnsi" w:hAnsiTheme="minorHAnsi"/>
                <w:sz w:val="22"/>
                <w:szCs w:val="22"/>
              </w:rPr>
              <w:t xml:space="preserve"> vyplývají</w:t>
            </w:r>
            <w:r w:rsidRPr="00A9786E">
              <w:rPr>
                <w:rFonts w:asciiTheme="minorHAnsi" w:hAnsiTheme="minorHAnsi"/>
                <w:sz w:val="22"/>
                <w:szCs w:val="22"/>
              </w:rPr>
              <w:t xml:space="preserve"> z vydaných rozhodnutí Evropské komise o slučitelnosti provozní podpory pro podporované zdroje energie s vnitřním trhem EU. Vláda </w:t>
            </w:r>
            <w:r w:rsidR="001945CD">
              <w:rPr>
                <w:rFonts w:asciiTheme="minorHAnsi" w:hAnsiTheme="minorHAnsi"/>
                <w:sz w:val="22"/>
                <w:szCs w:val="22"/>
              </w:rPr>
              <w:t xml:space="preserve">ČR </w:t>
            </w:r>
            <w:r w:rsidRPr="00A9786E">
              <w:rPr>
                <w:rFonts w:asciiTheme="minorHAnsi" w:hAnsiTheme="minorHAnsi"/>
                <w:sz w:val="22"/>
                <w:szCs w:val="22"/>
              </w:rPr>
              <w:t>tento materiál schválila</w:t>
            </w:r>
            <w:r w:rsidR="001945CD">
              <w:rPr>
                <w:rFonts w:asciiTheme="minorHAnsi" w:hAnsiTheme="minorHAnsi"/>
                <w:sz w:val="22"/>
                <w:szCs w:val="22"/>
              </w:rPr>
              <w:t xml:space="preserve"> usnesením č. 613 ze </w:t>
            </w:r>
            <w:r w:rsidRPr="00A9786E">
              <w:rPr>
                <w:rFonts w:asciiTheme="minorHAnsi" w:hAnsiTheme="minorHAnsi"/>
                <w:sz w:val="22"/>
                <w:szCs w:val="22"/>
              </w:rPr>
              <w:t xml:space="preserve">dne 4. </w:t>
            </w:r>
            <w:r w:rsidR="001945CD">
              <w:rPr>
                <w:rFonts w:asciiTheme="minorHAnsi" w:hAnsiTheme="minorHAnsi"/>
                <w:sz w:val="22"/>
                <w:szCs w:val="22"/>
              </w:rPr>
              <w:t>září</w:t>
            </w:r>
            <w:r w:rsidRPr="00A9786E">
              <w:rPr>
                <w:rFonts w:asciiTheme="minorHAnsi" w:hAnsiTheme="minorHAnsi"/>
                <w:sz w:val="22"/>
                <w:szCs w:val="22"/>
              </w:rPr>
              <w:t xml:space="preserve"> 2017 a uložila ministru průmyslu a obch</w:t>
            </w:r>
            <w:r w:rsidR="00C46E8E">
              <w:rPr>
                <w:rFonts w:asciiTheme="minorHAnsi" w:hAnsiTheme="minorHAnsi"/>
                <w:sz w:val="22"/>
                <w:szCs w:val="22"/>
              </w:rPr>
              <w:t>odu zpracovat</w:t>
            </w:r>
            <w:r w:rsidR="003D0950">
              <w:rPr>
                <w:rFonts w:asciiTheme="minorHAnsi" w:hAnsiTheme="minorHAnsi"/>
                <w:sz w:val="22"/>
                <w:szCs w:val="22"/>
              </w:rPr>
              <w:t xml:space="preserve"> </w:t>
            </w:r>
            <w:r w:rsidRPr="00A9786E">
              <w:rPr>
                <w:rFonts w:asciiTheme="minorHAnsi" w:hAnsiTheme="minorHAnsi"/>
                <w:sz w:val="22"/>
                <w:szCs w:val="22"/>
              </w:rPr>
              <w:t>novelu zákona č. 165/2012 Sb., o</w:t>
            </w:r>
            <w:r w:rsidR="003D0950">
              <w:rPr>
                <w:rFonts w:asciiTheme="minorHAnsi" w:hAnsiTheme="minorHAnsi"/>
                <w:sz w:val="22"/>
                <w:szCs w:val="22"/>
              </w:rPr>
              <w:t> podporovaných zdrojích energie.</w:t>
            </w:r>
            <w:r w:rsidR="006E4516">
              <w:rPr>
                <w:rFonts w:asciiTheme="minorHAnsi" w:hAnsiTheme="minorHAnsi"/>
                <w:sz w:val="22"/>
                <w:szCs w:val="22"/>
              </w:rPr>
              <w:t xml:space="preserve"> </w:t>
            </w:r>
            <w:r w:rsidRPr="00A9786E">
              <w:rPr>
                <w:rFonts w:asciiTheme="minorHAnsi" w:hAnsiTheme="minorHAnsi"/>
                <w:sz w:val="22"/>
                <w:szCs w:val="22"/>
              </w:rPr>
              <w:t xml:space="preserve">V současné době </w:t>
            </w:r>
            <w:r w:rsidR="003D0950">
              <w:rPr>
                <w:rFonts w:asciiTheme="minorHAnsi" w:hAnsiTheme="minorHAnsi"/>
                <w:sz w:val="22"/>
                <w:szCs w:val="22"/>
              </w:rPr>
              <w:t xml:space="preserve">tedy </w:t>
            </w:r>
            <w:r w:rsidRPr="00A9786E">
              <w:rPr>
                <w:rFonts w:asciiTheme="minorHAnsi" w:hAnsiTheme="minorHAnsi"/>
                <w:sz w:val="22"/>
                <w:szCs w:val="22"/>
              </w:rPr>
              <w:t>M</w:t>
            </w:r>
            <w:r w:rsidR="001945CD">
              <w:rPr>
                <w:rFonts w:asciiTheme="minorHAnsi" w:hAnsiTheme="minorHAnsi"/>
                <w:sz w:val="22"/>
                <w:szCs w:val="22"/>
              </w:rPr>
              <w:t>PO</w:t>
            </w:r>
            <w:r w:rsidRPr="00A9786E">
              <w:rPr>
                <w:rFonts w:asciiTheme="minorHAnsi" w:hAnsiTheme="minorHAnsi"/>
                <w:sz w:val="22"/>
                <w:szCs w:val="22"/>
              </w:rPr>
              <w:t xml:space="preserve"> </w:t>
            </w:r>
            <w:r w:rsidR="003D0950">
              <w:rPr>
                <w:rFonts w:asciiTheme="minorHAnsi" w:hAnsiTheme="minorHAnsi"/>
                <w:sz w:val="22"/>
                <w:szCs w:val="22"/>
              </w:rPr>
              <w:t>připravuje tuto novelu,</w:t>
            </w:r>
            <w:r w:rsidRPr="00A9786E">
              <w:rPr>
                <w:rFonts w:asciiTheme="minorHAnsi" w:hAnsiTheme="minorHAnsi"/>
                <w:sz w:val="22"/>
                <w:szCs w:val="22"/>
              </w:rPr>
              <w:t xml:space="preserve"> která bude kromě zavedení mechanismu kontroly přiměřenosti podpory </w:t>
            </w:r>
            <w:r w:rsidR="00C46E8E">
              <w:rPr>
                <w:rFonts w:asciiTheme="minorHAnsi" w:hAnsiTheme="minorHAnsi"/>
                <w:sz w:val="22"/>
                <w:szCs w:val="22"/>
              </w:rPr>
              <w:t xml:space="preserve">výroby </w:t>
            </w:r>
            <w:r w:rsidR="003D0950">
              <w:rPr>
                <w:rFonts w:asciiTheme="minorHAnsi" w:hAnsiTheme="minorHAnsi"/>
                <w:sz w:val="22"/>
                <w:szCs w:val="22"/>
              </w:rPr>
              <w:t>elektřiny</w:t>
            </w:r>
            <w:r w:rsidRPr="00A9786E">
              <w:rPr>
                <w:rFonts w:asciiTheme="minorHAnsi" w:hAnsiTheme="minorHAnsi"/>
                <w:sz w:val="22"/>
                <w:szCs w:val="22"/>
              </w:rPr>
              <w:t xml:space="preserve"> z podporovaných zdrojů energie</w:t>
            </w:r>
            <w:r w:rsidR="003D0950">
              <w:rPr>
                <w:rFonts w:asciiTheme="minorHAnsi" w:hAnsiTheme="minorHAnsi"/>
                <w:sz w:val="22"/>
                <w:szCs w:val="22"/>
              </w:rPr>
              <w:t xml:space="preserve"> obsahovat </w:t>
            </w:r>
            <w:r w:rsidR="006E4516">
              <w:rPr>
                <w:rFonts w:asciiTheme="minorHAnsi" w:hAnsiTheme="minorHAnsi"/>
                <w:sz w:val="22"/>
                <w:szCs w:val="22"/>
              </w:rPr>
              <w:t>také</w:t>
            </w:r>
            <w:r w:rsidRPr="00A9786E">
              <w:rPr>
                <w:rFonts w:asciiTheme="minorHAnsi" w:hAnsiTheme="minorHAnsi"/>
                <w:sz w:val="22"/>
                <w:szCs w:val="22"/>
              </w:rPr>
              <w:t xml:space="preserve"> aplikaci dalších závazků vyplývající</w:t>
            </w:r>
            <w:r w:rsidR="001945CD">
              <w:rPr>
                <w:rFonts w:asciiTheme="minorHAnsi" w:hAnsiTheme="minorHAnsi"/>
                <w:sz w:val="22"/>
                <w:szCs w:val="22"/>
              </w:rPr>
              <w:t>ch</w:t>
            </w:r>
            <w:r w:rsidRPr="00A9786E">
              <w:rPr>
                <w:rFonts w:asciiTheme="minorHAnsi" w:hAnsiTheme="minorHAnsi"/>
                <w:sz w:val="22"/>
                <w:szCs w:val="22"/>
              </w:rPr>
              <w:t xml:space="preserve"> </w:t>
            </w:r>
            <w:r w:rsidR="001945CD">
              <w:rPr>
                <w:rFonts w:asciiTheme="minorHAnsi" w:hAnsiTheme="minorHAnsi"/>
                <w:sz w:val="22"/>
                <w:szCs w:val="22"/>
              </w:rPr>
              <w:t>z</w:t>
            </w:r>
            <w:r w:rsidRPr="00A9786E">
              <w:rPr>
                <w:rFonts w:asciiTheme="minorHAnsi" w:hAnsiTheme="minorHAnsi"/>
                <w:sz w:val="22"/>
                <w:szCs w:val="22"/>
              </w:rPr>
              <w:t xml:space="preserve"> vydaných rozhodnutí Evropské komise a</w:t>
            </w:r>
            <w:r w:rsidR="006E4516">
              <w:rPr>
                <w:rFonts w:asciiTheme="minorHAnsi" w:hAnsiTheme="minorHAnsi"/>
                <w:sz w:val="22"/>
                <w:szCs w:val="22"/>
              </w:rPr>
              <w:t xml:space="preserve"> </w:t>
            </w:r>
            <w:r w:rsidRPr="00A9786E">
              <w:rPr>
                <w:rFonts w:asciiTheme="minorHAnsi" w:hAnsiTheme="minorHAnsi"/>
                <w:sz w:val="22"/>
                <w:szCs w:val="22"/>
              </w:rPr>
              <w:t xml:space="preserve">nastavení pravidel provozní podpory na období </w:t>
            </w:r>
            <w:r w:rsidR="001945CD">
              <w:rPr>
                <w:rFonts w:asciiTheme="minorHAnsi" w:hAnsiTheme="minorHAnsi"/>
                <w:sz w:val="22"/>
                <w:szCs w:val="22"/>
              </w:rPr>
              <w:t xml:space="preserve">let </w:t>
            </w:r>
            <w:r w:rsidRPr="00A9786E">
              <w:rPr>
                <w:rFonts w:asciiTheme="minorHAnsi" w:hAnsiTheme="minorHAnsi"/>
                <w:sz w:val="22"/>
                <w:szCs w:val="22"/>
              </w:rPr>
              <w:t>2021 až 2030 formou výběrových nabídkových řízení</w:t>
            </w:r>
            <w:r w:rsidR="00C46E8E">
              <w:rPr>
                <w:rFonts w:asciiTheme="minorHAnsi" w:hAnsiTheme="minorHAnsi"/>
                <w:sz w:val="22"/>
                <w:szCs w:val="22"/>
              </w:rPr>
              <w:t>, tedy</w:t>
            </w:r>
            <w:r w:rsidRPr="00A9786E">
              <w:rPr>
                <w:rFonts w:asciiTheme="minorHAnsi" w:hAnsiTheme="minorHAnsi"/>
                <w:sz w:val="22"/>
                <w:szCs w:val="22"/>
              </w:rPr>
              <w:t xml:space="preserve"> pro</w:t>
            </w:r>
            <w:r w:rsidR="003D0950">
              <w:rPr>
                <w:rFonts w:asciiTheme="minorHAnsi" w:hAnsiTheme="minorHAnsi"/>
                <w:sz w:val="22"/>
                <w:szCs w:val="22"/>
              </w:rPr>
              <w:t xml:space="preserve">střednictvím aukcí </w:t>
            </w:r>
            <w:r w:rsidR="006E4516">
              <w:rPr>
                <w:rFonts w:asciiTheme="minorHAnsi" w:hAnsiTheme="minorHAnsi"/>
                <w:sz w:val="22"/>
                <w:szCs w:val="22"/>
              </w:rPr>
              <w:t>nebo</w:t>
            </w:r>
            <w:r w:rsidR="003D0950">
              <w:rPr>
                <w:rFonts w:asciiTheme="minorHAnsi" w:hAnsiTheme="minorHAnsi"/>
                <w:sz w:val="22"/>
                <w:szCs w:val="22"/>
              </w:rPr>
              <w:t xml:space="preserve"> tendrů. Legislativní proces </w:t>
            </w:r>
            <w:r w:rsidR="006E4516">
              <w:rPr>
                <w:rFonts w:asciiTheme="minorHAnsi" w:hAnsiTheme="minorHAnsi"/>
                <w:sz w:val="22"/>
                <w:szCs w:val="22"/>
              </w:rPr>
              <w:t xml:space="preserve">k této novele </w:t>
            </w:r>
            <w:r w:rsidR="003D0950">
              <w:rPr>
                <w:rFonts w:asciiTheme="minorHAnsi" w:hAnsiTheme="minorHAnsi"/>
                <w:sz w:val="22"/>
                <w:szCs w:val="22"/>
              </w:rPr>
              <w:t xml:space="preserve">bude zahájen </w:t>
            </w:r>
            <w:r w:rsidR="006E4516">
              <w:rPr>
                <w:rFonts w:asciiTheme="minorHAnsi" w:hAnsiTheme="minorHAnsi"/>
                <w:sz w:val="22"/>
                <w:szCs w:val="22"/>
              </w:rPr>
              <w:t>do konce roku 2018</w:t>
            </w:r>
            <w:r w:rsidR="003D0950">
              <w:rPr>
                <w:rFonts w:asciiTheme="minorHAnsi" w:hAnsiTheme="minorHAnsi"/>
                <w:sz w:val="22"/>
                <w:szCs w:val="22"/>
              </w:rPr>
              <w:t>.</w:t>
            </w:r>
          </w:p>
        </w:tc>
      </w:tr>
    </w:tbl>
    <w:p w14:paraId="5ED47FF4" w14:textId="69F62668" w:rsidR="00B2037C" w:rsidRDefault="00B2037C">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B2037C" w:rsidRPr="006B443D" w14:paraId="54EA7290" w14:textId="77777777" w:rsidTr="00D650B6">
        <w:tc>
          <w:tcPr>
            <w:tcW w:w="833" w:type="pct"/>
            <w:shd w:val="clear" w:color="auto" w:fill="DBE5F1" w:themeFill="accent1" w:themeFillTint="33"/>
            <w:vAlign w:val="center"/>
          </w:tcPr>
          <w:p w14:paraId="193D9BCB" w14:textId="77777777" w:rsidR="00B2037C" w:rsidRPr="006B443D" w:rsidRDefault="00B2037C" w:rsidP="002C5FC9">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6B8E80A7" w14:textId="77777777" w:rsidR="00B2037C" w:rsidRPr="006B443D" w:rsidRDefault="0030112B" w:rsidP="002C5FC9">
            <w:pPr>
              <w:keepNext/>
              <w:spacing w:before="120" w:after="120"/>
              <w:jc w:val="both"/>
              <w:rPr>
                <w:rFonts w:asciiTheme="minorHAnsi" w:hAnsiTheme="minorHAnsi"/>
                <w:b/>
                <w:sz w:val="22"/>
                <w:szCs w:val="22"/>
              </w:rPr>
            </w:pPr>
            <w:r w:rsidRPr="0030112B">
              <w:rPr>
                <w:rFonts w:asciiTheme="minorHAnsi" w:hAnsiTheme="minorHAnsi"/>
                <w:b/>
                <w:sz w:val="22"/>
                <w:szCs w:val="22"/>
              </w:rPr>
              <w:t>Návrh novelizace zákona o hospodaření energií</w:t>
            </w:r>
          </w:p>
        </w:tc>
      </w:tr>
      <w:tr w:rsidR="00B2037C" w:rsidRPr="006B443D" w14:paraId="3FCBE580" w14:textId="77777777" w:rsidTr="00D650B6">
        <w:tc>
          <w:tcPr>
            <w:tcW w:w="833" w:type="pct"/>
            <w:vAlign w:val="center"/>
          </w:tcPr>
          <w:p w14:paraId="4139EDBB" w14:textId="77777777" w:rsidR="00B2037C" w:rsidRPr="006B443D" w:rsidRDefault="00B2037C"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6661FC98" w14:textId="77777777" w:rsidR="0030112B" w:rsidRPr="0030112B" w:rsidRDefault="0030112B" w:rsidP="0030112B">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30112B">
              <w:rPr>
                <w:rFonts w:asciiTheme="minorHAnsi" w:hAnsiTheme="minorHAnsi"/>
                <w:sz w:val="22"/>
                <w:szCs w:val="22"/>
              </w:rPr>
              <w:t>Podrobnější popis obsahu a rozsahu Státní energetické koncepce a způsobu zajištění její závaznosti pro orgány státní správy v oblasti hospodaření s energií. Popis postupu aktualizace.</w:t>
            </w:r>
          </w:p>
          <w:p w14:paraId="58242F01" w14:textId="77777777" w:rsidR="0030112B" w:rsidRPr="0030112B" w:rsidRDefault="0030112B" w:rsidP="0030112B">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30112B">
              <w:rPr>
                <w:rFonts w:asciiTheme="minorHAnsi" w:hAnsiTheme="minorHAnsi"/>
                <w:sz w:val="22"/>
                <w:szCs w:val="22"/>
              </w:rPr>
              <w:t>Povinnost a termíny zpracování Územních energetických koncepcí (ÚEK) ve vazbě na aktualizaci SEK a závazný postup koordinace souladu ÚEK a SEK.</w:t>
            </w:r>
          </w:p>
          <w:p w14:paraId="7F2C26C1" w14:textId="77777777" w:rsidR="0030112B" w:rsidRPr="0030112B" w:rsidRDefault="0030112B" w:rsidP="0030112B">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30112B">
              <w:rPr>
                <w:rFonts w:asciiTheme="minorHAnsi" w:hAnsiTheme="minorHAnsi"/>
                <w:sz w:val="22"/>
                <w:szCs w:val="22"/>
              </w:rPr>
              <w:t>Dopracování sekundární legislativy v oblasti minimálních účinností energetických zdrojů a sankčních plateb za neplnění standardů.</w:t>
            </w:r>
          </w:p>
          <w:p w14:paraId="5BD7C1CF" w14:textId="77777777" w:rsidR="0030112B" w:rsidRPr="0030112B" w:rsidRDefault="0030112B" w:rsidP="0030112B">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30112B">
              <w:rPr>
                <w:rFonts w:asciiTheme="minorHAnsi" w:hAnsiTheme="minorHAnsi"/>
                <w:sz w:val="22"/>
                <w:szCs w:val="22"/>
              </w:rPr>
              <w:t>Zachovat vazbu SEK, PÚR, ZÚR a stanovit způsob zapracování ÚEK do územně plánovací dokumentace.</w:t>
            </w:r>
          </w:p>
          <w:p w14:paraId="7F32FA3D" w14:textId="77777777" w:rsidR="0030112B" w:rsidRPr="0030112B" w:rsidRDefault="0030112B" w:rsidP="0030112B">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30112B">
              <w:rPr>
                <w:rFonts w:asciiTheme="minorHAnsi" w:hAnsiTheme="minorHAnsi"/>
                <w:sz w:val="22"/>
                <w:szCs w:val="22"/>
              </w:rPr>
              <w:t>Zajistit co nejrychlejší zavedení malusů pro nízko-účinně kondenzačně vyrobenou elektřinu z uhlí.</w:t>
            </w:r>
          </w:p>
          <w:p w14:paraId="61B6E068" w14:textId="77777777" w:rsidR="00B2037C" w:rsidRPr="006B443D" w:rsidRDefault="0030112B" w:rsidP="0030112B">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30112B">
              <w:rPr>
                <w:rFonts w:asciiTheme="minorHAnsi" w:hAnsiTheme="minorHAnsi"/>
                <w:sz w:val="22"/>
                <w:szCs w:val="22"/>
              </w:rPr>
              <w:t>Zjednodušit a zefektivnit administrativu a předpisy v oblasti kontroly energetických úspor.</w:t>
            </w:r>
          </w:p>
        </w:tc>
      </w:tr>
      <w:tr w:rsidR="00B2037C" w:rsidRPr="006B443D" w14:paraId="2674FCEA" w14:textId="77777777" w:rsidTr="00D650B6">
        <w:tc>
          <w:tcPr>
            <w:tcW w:w="833" w:type="pct"/>
            <w:vAlign w:val="center"/>
          </w:tcPr>
          <w:p w14:paraId="0C3032AD" w14:textId="77777777" w:rsidR="00B2037C" w:rsidRPr="006B443D" w:rsidRDefault="00B2037C"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3014BBCA" w14:textId="77777777" w:rsidR="00B2037C" w:rsidRPr="006B443D" w:rsidRDefault="0030112B" w:rsidP="0030112B">
            <w:pPr>
              <w:spacing w:before="120" w:after="120"/>
              <w:jc w:val="both"/>
              <w:rPr>
                <w:rFonts w:asciiTheme="minorHAnsi" w:hAnsiTheme="minorHAnsi"/>
                <w:sz w:val="22"/>
                <w:szCs w:val="22"/>
              </w:rPr>
            </w:pPr>
            <w:r>
              <w:rPr>
                <w:rFonts w:asciiTheme="minorHAnsi" w:hAnsiTheme="minorHAnsi"/>
                <w:sz w:val="22"/>
                <w:szCs w:val="22"/>
              </w:rPr>
              <w:t>MPO</w:t>
            </w:r>
          </w:p>
        </w:tc>
      </w:tr>
      <w:tr w:rsidR="00B2037C" w:rsidRPr="006B443D" w14:paraId="74B1AC05" w14:textId="77777777" w:rsidTr="00D650B6">
        <w:tc>
          <w:tcPr>
            <w:tcW w:w="833" w:type="pct"/>
            <w:vAlign w:val="center"/>
          </w:tcPr>
          <w:p w14:paraId="71177040" w14:textId="77777777" w:rsidR="00B2037C" w:rsidRPr="006B443D" w:rsidRDefault="00B2037C"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2B3A3FE3" w14:textId="77777777" w:rsidR="00B2037C" w:rsidRPr="006B443D" w:rsidRDefault="0030112B" w:rsidP="0030112B">
            <w:pPr>
              <w:spacing w:before="120" w:after="120"/>
              <w:jc w:val="both"/>
              <w:rPr>
                <w:rFonts w:asciiTheme="minorHAnsi" w:hAnsiTheme="minorHAnsi"/>
                <w:sz w:val="22"/>
                <w:szCs w:val="22"/>
              </w:rPr>
            </w:pPr>
            <w:r>
              <w:rPr>
                <w:rFonts w:asciiTheme="minorHAnsi" w:hAnsiTheme="minorHAnsi"/>
                <w:sz w:val="22"/>
                <w:szCs w:val="22"/>
              </w:rPr>
              <w:t>31. 12. 2015</w:t>
            </w:r>
          </w:p>
        </w:tc>
      </w:tr>
      <w:tr w:rsidR="00B2037C" w:rsidRPr="006B443D" w14:paraId="1600CBBD" w14:textId="77777777" w:rsidTr="00D650B6">
        <w:tc>
          <w:tcPr>
            <w:tcW w:w="833" w:type="pct"/>
            <w:vAlign w:val="center"/>
          </w:tcPr>
          <w:p w14:paraId="5F2143BC" w14:textId="77777777" w:rsidR="00B2037C" w:rsidRPr="006B443D" w:rsidRDefault="00B2037C"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1A307052" w14:textId="315A46CA" w:rsidR="0030112B" w:rsidRPr="0030112B" w:rsidRDefault="0030112B" w:rsidP="0030112B">
            <w:pPr>
              <w:overflowPunct w:val="0"/>
              <w:autoSpaceDE w:val="0"/>
              <w:autoSpaceDN w:val="0"/>
              <w:adjustRightInd w:val="0"/>
              <w:spacing w:before="120" w:after="120"/>
              <w:jc w:val="both"/>
              <w:textAlignment w:val="baseline"/>
              <w:rPr>
                <w:rFonts w:asciiTheme="minorHAnsi" w:hAnsiTheme="minorHAnsi"/>
                <w:b/>
                <w:sz w:val="22"/>
                <w:szCs w:val="22"/>
              </w:rPr>
            </w:pPr>
            <w:r w:rsidRPr="0030112B">
              <w:rPr>
                <w:rFonts w:asciiTheme="minorHAnsi" w:hAnsiTheme="minorHAnsi"/>
                <w:b/>
                <w:sz w:val="22"/>
                <w:szCs w:val="22"/>
              </w:rPr>
              <w:t>Splněno dílčím způsobem</w:t>
            </w:r>
          </w:p>
          <w:p w14:paraId="4F51B847" w14:textId="66376B49" w:rsidR="0030112B" w:rsidRPr="00DF123C" w:rsidRDefault="00077DB1" w:rsidP="00077DB1">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077DB1">
              <w:rPr>
                <w:rFonts w:asciiTheme="minorHAnsi" w:hAnsiTheme="minorHAnsi"/>
                <w:sz w:val="22"/>
                <w:szCs w:val="22"/>
              </w:rPr>
              <w:t>Dne 4. května 2015 byl vydán zákon č. 103/2015 Sb., kterým se mění zákon č.</w:t>
            </w:r>
            <w:r>
              <w:rPr>
                <w:rFonts w:asciiTheme="minorHAnsi" w:hAnsiTheme="minorHAnsi"/>
                <w:sz w:val="22"/>
                <w:szCs w:val="22"/>
              </w:rPr>
              <w:t> </w:t>
            </w:r>
            <w:r w:rsidRPr="00077DB1">
              <w:rPr>
                <w:rFonts w:asciiTheme="minorHAnsi" w:hAnsiTheme="minorHAnsi"/>
                <w:sz w:val="22"/>
                <w:szCs w:val="22"/>
              </w:rPr>
              <w:t>406/2000 Sb., o hospodaření energií, a který stanovuje závaznost SEK pro výkon státní správy v oblasti nakládání s energií a ukládá krajům a Hlavnímu městu Praze předávat ÚEK k posouzení MPO před jejím vydáním. Dne 14. září 2015 by</w:t>
            </w:r>
            <w:r>
              <w:rPr>
                <w:rFonts w:asciiTheme="minorHAnsi" w:hAnsiTheme="minorHAnsi"/>
                <w:sz w:val="22"/>
                <w:szCs w:val="22"/>
              </w:rPr>
              <w:t>l</w:t>
            </w:r>
            <w:r w:rsidRPr="00077DB1">
              <w:rPr>
                <w:rFonts w:asciiTheme="minorHAnsi" w:hAnsiTheme="minorHAnsi"/>
                <w:sz w:val="22"/>
                <w:szCs w:val="22"/>
              </w:rPr>
              <w:t>o vydáno nařízení vlády č. 232/2015 Sb., o státní energetické koncepci a</w:t>
            </w:r>
            <w:r>
              <w:rPr>
                <w:rFonts w:asciiTheme="minorHAnsi" w:hAnsiTheme="minorHAnsi"/>
                <w:sz w:val="22"/>
                <w:szCs w:val="22"/>
              </w:rPr>
              <w:t> </w:t>
            </w:r>
            <w:r w:rsidRPr="00077DB1">
              <w:rPr>
                <w:rFonts w:asciiTheme="minorHAnsi" w:hAnsiTheme="minorHAnsi"/>
                <w:sz w:val="22"/>
                <w:szCs w:val="22"/>
              </w:rPr>
              <w:t>územní energetické koncepci, které stanovuje obsah a způsob zpracování SEK a obsah a strukturu podkladů pro její zpracování a vyhodnocení.</w:t>
            </w:r>
            <w:r>
              <w:rPr>
                <w:rFonts w:asciiTheme="minorHAnsi" w:hAnsiTheme="minorHAnsi"/>
                <w:sz w:val="22"/>
                <w:szCs w:val="22"/>
              </w:rPr>
              <w:t xml:space="preserve"> </w:t>
            </w:r>
            <w:r w:rsidRPr="00077DB1">
              <w:rPr>
                <w:rFonts w:asciiTheme="minorHAnsi" w:hAnsiTheme="minorHAnsi"/>
                <w:sz w:val="22"/>
                <w:szCs w:val="22"/>
              </w:rPr>
              <w:t>V ustanoveních zákona je SEK vymezena jako podklad pro zpracování PÚR a ÚEK jako podklad pro zpracování ZÚR a územního plánu.</w:t>
            </w:r>
          </w:p>
          <w:p w14:paraId="2D0E99C1" w14:textId="1244FD91" w:rsidR="002F35D2" w:rsidRPr="00E95DF7" w:rsidRDefault="0030112B" w:rsidP="00E95DF7">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DF123C">
              <w:rPr>
                <w:rFonts w:asciiTheme="minorHAnsi" w:hAnsiTheme="minorHAnsi"/>
                <w:sz w:val="22"/>
                <w:szCs w:val="22"/>
              </w:rPr>
              <w:lastRenderedPageBreak/>
              <w:t>V rámci této novelizace byla navrhována také úprava ustanovení týkajících se platby za nesplnění minimální účinnosti užití energie při spalování hnědého uhlí, která se stala součástí zákona č. 406/2000 Sb., o hospodaření energií, při předchozí novelizaci zákonem č. 318/2012 Sb. Při projednávání návrhu zákona č.</w:t>
            </w:r>
            <w:r w:rsidR="007D28DC" w:rsidRPr="00DF123C">
              <w:rPr>
                <w:rFonts w:asciiTheme="minorHAnsi" w:hAnsiTheme="minorHAnsi"/>
                <w:sz w:val="22"/>
                <w:szCs w:val="22"/>
              </w:rPr>
              <w:t> </w:t>
            </w:r>
            <w:r w:rsidRPr="00DF123C">
              <w:rPr>
                <w:rFonts w:asciiTheme="minorHAnsi" w:hAnsiTheme="minorHAnsi"/>
                <w:sz w:val="22"/>
                <w:szCs w:val="22"/>
              </w:rPr>
              <w:t>103/2015 Sb. v Poslanecké sněmovně ČR však byla tato ustanovení ze znění zákona č. 406/2000 Sb., o hospodaření energií, bez náhrady zcela odstraněna. Nemohly být tedy následně vydány ani prováděcí právní předpisy stanovující hodnoty minimální účinnosti užití energie a výše plateb za jejich nesplnění.</w:t>
            </w:r>
            <w:r w:rsidR="002F35D2" w:rsidRPr="00DF123C">
              <w:rPr>
                <w:rFonts w:asciiTheme="minorHAnsi" w:hAnsiTheme="minorHAnsi"/>
                <w:sz w:val="22"/>
                <w:szCs w:val="22"/>
              </w:rPr>
              <w:t xml:space="preserve"> Zavedení malusů pro nízko-účinně kondenzačně vyrobenou elektřinu z uhlí bude řešeno v návaznosti na </w:t>
            </w:r>
            <w:r w:rsidR="00D650B6" w:rsidRPr="00DF123C">
              <w:rPr>
                <w:rFonts w:asciiTheme="minorHAnsi" w:hAnsiTheme="minorHAnsi"/>
                <w:sz w:val="22"/>
                <w:szCs w:val="22"/>
              </w:rPr>
              <w:t>výstupy analýzy, která b</w:t>
            </w:r>
            <w:r w:rsidR="00DF123C">
              <w:rPr>
                <w:rFonts w:asciiTheme="minorHAnsi" w:hAnsiTheme="minorHAnsi"/>
                <w:sz w:val="22"/>
                <w:szCs w:val="22"/>
              </w:rPr>
              <w:t>yla</w:t>
            </w:r>
            <w:r w:rsidR="00D650B6" w:rsidRPr="00DF123C">
              <w:rPr>
                <w:rFonts w:asciiTheme="minorHAnsi" w:hAnsiTheme="minorHAnsi"/>
                <w:sz w:val="22"/>
                <w:szCs w:val="22"/>
              </w:rPr>
              <w:t xml:space="preserve"> zpracována MPO na základě požadavku</w:t>
            </w:r>
            <w:r w:rsidR="00D650B6" w:rsidRPr="00E95DF7">
              <w:rPr>
                <w:rFonts w:asciiTheme="minorHAnsi" w:hAnsiTheme="minorHAnsi"/>
                <w:sz w:val="22"/>
                <w:szCs w:val="22"/>
              </w:rPr>
              <w:t xml:space="preserve"> Rady vlády pro energetickou a surovinovou strategii</w:t>
            </w:r>
            <w:r w:rsidR="00375992" w:rsidRPr="00E95DF7">
              <w:rPr>
                <w:rFonts w:asciiTheme="minorHAnsi" w:hAnsiTheme="minorHAnsi"/>
                <w:sz w:val="22"/>
                <w:szCs w:val="22"/>
              </w:rPr>
              <w:t>, která tuto analýzu vzala na</w:t>
            </w:r>
            <w:r w:rsidR="00E95DF7" w:rsidRPr="00E95DF7">
              <w:rPr>
                <w:rFonts w:asciiTheme="minorHAnsi" w:hAnsiTheme="minorHAnsi"/>
                <w:sz w:val="22"/>
                <w:szCs w:val="22"/>
              </w:rPr>
              <w:t xml:space="preserve"> </w:t>
            </w:r>
            <w:r w:rsidR="00375992" w:rsidRPr="00E95DF7">
              <w:rPr>
                <w:rFonts w:asciiTheme="minorHAnsi" w:hAnsiTheme="minorHAnsi"/>
                <w:sz w:val="22"/>
                <w:szCs w:val="22"/>
              </w:rPr>
              <w:t>vědomí na svém jednání</w:t>
            </w:r>
            <w:r w:rsidR="00DF123C" w:rsidRPr="00E95DF7">
              <w:rPr>
                <w:rFonts w:asciiTheme="minorHAnsi" w:hAnsiTheme="minorHAnsi"/>
                <w:sz w:val="22"/>
                <w:szCs w:val="22"/>
              </w:rPr>
              <w:t xml:space="preserve"> dne 6. října 2017</w:t>
            </w:r>
            <w:r w:rsidR="00E95DF7" w:rsidRPr="00E95DF7">
              <w:rPr>
                <w:rFonts w:asciiTheme="minorHAnsi" w:hAnsiTheme="minorHAnsi"/>
                <w:sz w:val="22"/>
                <w:szCs w:val="22"/>
              </w:rPr>
              <w:t>, a</w:t>
            </w:r>
            <w:r w:rsidR="00DF123C" w:rsidRPr="00E95DF7">
              <w:rPr>
                <w:rFonts w:asciiTheme="minorHAnsi" w:hAnsiTheme="minorHAnsi"/>
                <w:sz w:val="22"/>
                <w:szCs w:val="22"/>
              </w:rPr>
              <w:t xml:space="preserve"> </w:t>
            </w:r>
            <w:r w:rsidR="00E95DF7" w:rsidRPr="00E95DF7">
              <w:rPr>
                <w:rFonts w:asciiTheme="minorHAnsi" w:hAnsiTheme="minorHAnsi"/>
                <w:sz w:val="22"/>
                <w:szCs w:val="22"/>
              </w:rPr>
              <w:t>p</w:t>
            </w:r>
            <w:r w:rsidR="00D650B6" w:rsidRPr="00E95DF7">
              <w:rPr>
                <w:rFonts w:asciiTheme="minorHAnsi" w:hAnsiTheme="minorHAnsi"/>
                <w:sz w:val="22"/>
                <w:szCs w:val="22"/>
              </w:rPr>
              <w:t>řípadně bude součástí návrhu některé z dalších novel zákona č. 406/2000 Sb., o hospodaření energií.</w:t>
            </w:r>
          </w:p>
          <w:p w14:paraId="560B9931" w14:textId="679DD6BC" w:rsidR="00B2037C" w:rsidRPr="006B443D" w:rsidRDefault="00831845" w:rsidP="00396B6D">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Dále</w:t>
            </w:r>
            <w:r w:rsidRPr="0030112B">
              <w:rPr>
                <w:rFonts w:asciiTheme="minorHAnsi" w:hAnsiTheme="minorHAnsi"/>
                <w:sz w:val="22"/>
                <w:szCs w:val="22"/>
              </w:rPr>
              <w:t xml:space="preserve"> </w:t>
            </w:r>
            <w:r w:rsidR="0030112B" w:rsidRPr="0030112B">
              <w:rPr>
                <w:rFonts w:asciiTheme="minorHAnsi" w:hAnsiTheme="minorHAnsi"/>
                <w:sz w:val="22"/>
                <w:szCs w:val="22"/>
              </w:rPr>
              <w:t>proběhla novelizace vyhlášek č. 78/2013 Sb., o</w:t>
            </w:r>
            <w:r w:rsidR="007D28DC">
              <w:rPr>
                <w:rFonts w:asciiTheme="minorHAnsi" w:hAnsiTheme="minorHAnsi"/>
                <w:sz w:val="22"/>
                <w:szCs w:val="22"/>
              </w:rPr>
              <w:t> </w:t>
            </w:r>
            <w:r w:rsidR="0030112B" w:rsidRPr="0030112B">
              <w:rPr>
                <w:rFonts w:asciiTheme="minorHAnsi" w:hAnsiTheme="minorHAnsi"/>
                <w:sz w:val="22"/>
                <w:szCs w:val="22"/>
              </w:rPr>
              <w:t>energetické náročnosti budov, č. 118/2013 Sb., o energetických specialistech, a</w:t>
            </w:r>
            <w:r w:rsidR="00C33331">
              <w:rPr>
                <w:rFonts w:asciiTheme="minorHAnsi" w:hAnsiTheme="minorHAnsi"/>
                <w:sz w:val="22"/>
                <w:szCs w:val="22"/>
              </w:rPr>
              <w:t xml:space="preserve"> </w:t>
            </w:r>
            <w:r w:rsidR="0030112B" w:rsidRPr="0030112B">
              <w:rPr>
                <w:rFonts w:asciiTheme="minorHAnsi" w:hAnsiTheme="minorHAnsi"/>
                <w:sz w:val="22"/>
                <w:szCs w:val="22"/>
              </w:rPr>
              <w:t>č. 480/2012 Sb., o</w:t>
            </w:r>
            <w:r>
              <w:rPr>
                <w:rFonts w:asciiTheme="minorHAnsi" w:hAnsiTheme="minorHAnsi"/>
                <w:sz w:val="22"/>
                <w:szCs w:val="22"/>
              </w:rPr>
              <w:t> </w:t>
            </w:r>
            <w:r w:rsidR="0030112B" w:rsidRPr="0030112B">
              <w:rPr>
                <w:rFonts w:asciiTheme="minorHAnsi" w:hAnsiTheme="minorHAnsi"/>
                <w:sz w:val="22"/>
                <w:szCs w:val="22"/>
              </w:rPr>
              <w:t>energetickém auditu a energetickém posudku.</w:t>
            </w:r>
          </w:p>
        </w:tc>
      </w:tr>
    </w:tbl>
    <w:p w14:paraId="3794CA75" w14:textId="051472BA" w:rsidR="00B2037C" w:rsidRDefault="00B2037C">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B2037C" w:rsidRPr="006B443D" w14:paraId="301BABAE" w14:textId="77777777" w:rsidTr="00D1501A">
        <w:tc>
          <w:tcPr>
            <w:tcW w:w="833" w:type="pct"/>
            <w:shd w:val="clear" w:color="auto" w:fill="DBE5F1" w:themeFill="accent1" w:themeFillTint="33"/>
            <w:vAlign w:val="center"/>
          </w:tcPr>
          <w:p w14:paraId="6227B834" w14:textId="77777777" w:rsidR="00B2037C" w:rsidRPr="006B443D" w:rsidRDefault="00B2037C" w:rsidP="002C5FC9">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28D28A98" w14:textId="77777777" w:rsidR="00B2037C" w:rsidRPr="006B443D" w:rsidRDefault="00D1501A" w:rsidP="002C5FC9">
            <w:pPr>
              <w:keepNext/>
              <w:spacing w:before="120" w:after="120"/>
              <w:jc w:val="both"/>
              <w:rPr>
                <w:rFonts w:asciiTheme="minorHAnsi" w:hAnsiTheme="minorHAnsi"/>
                <w:b/>
                <w:sz w:val="22"/>
                <w:szCs w:val="22"/>
              </w:rPr>
            </w:pPr>
            <w:r w:rsidRPr="00D1501A">
              <w:rPr>
                <w:rFonts w:asciiTheme="minorHAnsi" w:hAnsiTheme="minorHAnsi"/>
                <w:b/>
                <w:sz w:val="22"/>
                <w:szCs w:val="22"/>
              </w:rPr>
              <w:t>Návrh novelizace stavebního zákona a novelizace zákona o posuzování vlivů na životní prostředí (EIA)</w:t>
            </w:r>
          </w:p>
        </w:tc>
      </w:tr>
      <w:tr w:rsidR="00B2037C" w:rsidRPr="006B443D" w14:paraId="70DF0327" w14:textId="77777777" w:rsidTr="00710291">
        <w:tc>
          <w:tcPr>
            <w:tcW w:w="833" w:type="pct"/>
            <w:vAlign w:val="center"/>
          </w:tcPr>
          <w:p w14:paraId="30961079" w14:textId="77777777" w:rsidR="00B2037C" w:rsidRPr="006B443D" w:rsidRDefault="00B2037C"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0802B8C5" w14:textId="77777777" w:rsidR="00D1501A" w:rsidRPr="00D1501A" w:rsidRDefault="00D1501A" w:rsidP="00D1501A">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D1501A">
              <w:rPr>
                <w:rFonts w:asciiTheme="minorHAnsi" w:hAnsiTheme="minorHAnsi"/>
                <w:sz w:val="22"/>
                <w:szCs w:val="22"/>
              </w:rPr>
              <w:t>Analýza a implementace nástrojů umožňujících u významných infrastrukturních staveb a výroben elektřiny a tepla zrychlit proces aktualizace ZÚR ve vazbě na změny PÚR.</w:t>
            </w:r>
          </w:p>
          <w:p w14:paraId="6B7703A1" w14:textId="6E7BFC84" w:rsidR="00D1501A" w:rsidRPr="00D1501A" w:rsidRDefault="00D1501A" w:rsidP="00D1501A">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D1501A">
              <w:rPr>
                <w:rFonts w:asciiTheme="minorHAnsi" w:hAnsiTheme="minorHAnsi"/>
                <w:sz w:val="22"/>
                <w:szCs w:val="22"/>
              </w:rPr>
              <w:t>Provázání státní energetické koncepce, územních energetických koncepcí a</w:t>
            </w:r>
            <w:r w:rsidR="007D28DC">
              <w:rPr>
                <w:rFonts w:asciiTheme="minorHAnsi" w:hAnsiTheme="minorHAnsi"/>
                <w:sz w:val="22"/>
                <w:szCs w:val="22"/>
              </w:rPr>
              <w:t> </w:t>
            </w:r>
            <w:r w:rsidRPr="00D1501A">
              <w:rPr>
                <w:rFonts w:asciiTheme="minorHAnsi" w:hAnsiTheme="minorHAnsi"/>
                <w:sz w:val="22"/>
                <w:szCs w:val="22"/>
              </w:rPr>
              <w:t>územních plánů.</w:t>
            </w:r>
          </w:p>
          <w:p w14:paraId="4FD31BD1" w14:textId="77777777" w:rsidR="00B2037C" w:rsidRPr="006B443D" w:rsidRDefault="00D1501A" w:rsidP="00D1501A">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D1501A">
              <w:rPr>
                <w:rFonts w:asciiTheme="minorHAnsi" w:hAnsiTheme="minorHAnsi"/>
                <w:sz w:val="22"/>
                <w:szCs w:val="22"/>
              </w:rPr>
              <w:t>Analyzovat možnost vydávání územního rozhodnutí nebo rozhodnutí, které by ho nahrazovalo, přímo na základě PÚR při nezpochybnění požadavků na EIA.</w:t>
            </w:r>
          </w:p>
        </w:tc>
      </w:tr>
      <w:tr w:rsidR="00B2037C" w:rsidRPr="006B443D" w14:paraId="0F6617E2" w14:textId="77777777" w:rsidTr="00710291">
        <w:tc>
          <w:tcPr>
            <w:tcW w:w="833" w:type="pct"/>
            <w:vAlign w:val="center"/>
          </w:tcPr>
          <w:p w14:paraId="3688F464" w14:textId="77777777" w:rsidR="00B2037C" w:rsidRPr="006B443D" w:rsidRDefault="00B2037C"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3F1478AB" w14:textId="77777777" w:rsidR="00B2037C" w:rsidRPr="006B443D" w:rsidRDefault="00D1501A" w:rsidP="00D1501A">
            <w:pPr>
              <w:spacing w:before="120" w:after="120"/>
              <w:jc w:val="both"/>
              <w:rPr>
                <w:rFonts w:asciiTheme="minorHAnsi" w:hAnsiTheme="minorHAnsi"/>
                <w:sz w:val="22"/>
                <w:szCs w:val="22"/>
              </w:rPr>
            </w:pPr>
            <w:r w:rsidRPr="00D1501A">
              <w:rPr>
                <w:rFonts w:asciiTheme="minorHAnsi" w:hAnsiTheme="minorHAnsi"/>
                <w:sz w:val="22"/>
                <w:szCs w:val="22"/>
              </w:rPr>
              <w:t>MMR a MŽP dle své gesční příslušnosti, ve spolupráci s MPO</w:t>
            </w:r>
          </w:p>
        </w:tc>
      </w:tr>
      <w:tr w:rsidR="00B2037C" w:rsidRPr="006B443D" w14:paraId="3B82856D" w14:textId="77777777" w:rsidTr="00710291">
        <w:tc>
          <w:tcPr>
            <w:tcW w:w="833" w:type="pct"/>
            <w:vAlign w:val="center"/>
          </w:tcPr>
          <w:p w14:paraId="5AAEF1D2" w14:textId="77777777" w:rsidR="00B2037C" w:rsidRPr="006B443D" w:rsidRDefault="00B2037C"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047FF263" w14:textId="77777777" w:rsidR="00B2037C" w:rsidRPr="006B443D" w:rsidRDefault="00D1501A" w:rsidP="00D1501A">
            <w:pPr>
              <w:spacing w:before="120" w:after="120"/>
              <w:jc w:val="both"/>
              <w:rPr>
                <w:rFonts w:asciiTheme="minorHAnsi" w:hAnsiTheme="minorHAnsi"/>
                <w:sz w:val="22"/>
                <w:szCs w:val="22"/>
              </w:rPr>
            </w:pPr>
            <w:r>
              <w:rPr>
                <w:rFonts w:asciiTheme="minorHAnsi" w:hAnsiTheme="minorHAnsi"/>
                <w:sz w:val="22"/>
                <w:szCs w:val="22"/>
              </w:rPr>
              <w:t>31. 12. 2015</w:t>
            </w:r>
          </w:p>
        </w:tc>
      </w:tr>
      <w:tr w:rsidR="00B2037C" w:rsidRPr="006B443D" w14:paraId="1BBC0C1D" w14:textId="77777777" w:rsidTr="00710291">
        <w:tc>
          <w:tcPr>
            <w:tcW w:w="833" w:type="pct"/>
            <w:vAlign w:val="center"/>
          </w:tcPr>
          <w:p w14:paraId="194568B0" w14:textId="77777777" w:rsidR="00B2037C" w:rsidRPr="006B443D" w:rsidRDefault="00B2037C"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16CDE35C" w14:textId="74CCC674" w:rsidR="00D1501A" w:rsidRPr="00D1501A" w:rsidRDefault="003E4E6B" w:rsidP="00D1501A">
            <w:pPr>
              <w:overflowPunct w:val="0"/>
              <w:autoSpaceDE w:val="0"/>
              <w:autoSpaceDN w:val="0"/>
              <w:adjustRightInd w:val="0"/>
              <w:spacing w:before="120" w:after="120"/>
              <w:jc w:val="both"/>
              <w:textAlignment w:val="baseline"/>
              <w:rPr>
                <w:rFonts w:asciiTheme="minorHAnsi" w:hAnsiTheme="minorHAnsi"/>
                <w:b/>
                <w:sz w:val="22"/>
                <w:szCs w:val="22"/>
              </w:rPr>
            </w:pPr>
            <w:r>
              <w:rPr>
                <w:rFonts w:asciiTheme="minorHAnsi" w:hAnsiTheme="minorHAnsi"/>
                <w:b/>
                <w:sz w:val="22"/>
                <w:szCs w:val="22"/>
              </w:rPr>
              <w:t>Splněno</w:t>
            </w:r>
          </w:p>
          <w:p w14:paraId="27B0ED83" w14:textId="0FD94800" w:rsidR="00D1501A" w:rsidRPr="00CC1654" w:rsidRDefault="00991A87" w:rsidP="00991A87">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Dne 31. července</w:t>
            </w:r>
            <w:r w:rsidR="005A4B4B">
              <w:rPr>
                <w:rFonts w:asciiTheme="minorHAnsi" w:hAnsiTheme="minorHAnsi"/>
                <w:sz w:val="22"/>
                <w:szCs w:val="22"/>
              </w:rPr>
              <w:t xml:space="preserve"> 2017</w:t>
            </w:r>
            <w:r>
              <w:rPr>
                <w:rFonts w:asciiTheme="minorHAnsi" w:hAnsiTheme="minorHAnsi"/>
                <w:sz w:val="22"/>
                <w:szCs w:val="22"/>
              </w:rPr>
              <w:t xml:space="preserve"> byl vydán zákon č. 225/2017 Sb.</w:t>
            </w:r>
            <w:r w:rsidRPr="00B048C4">
              <w:rPr>
                <w:rFonts w:asciiTheme="minorHAnsi" w:hAnsiTheme="minorHAnsi"/>
                <w:sz w:val="22"/>
                <w:szCs w:val="22"/>
              </w:rPr>
              <w:t>, kterým se mění zákon č.</w:t>
            </w:r>
            <w:r>
              <w:rPr>
                <w:rFonts w:asciiTheme="minorHAnsi" w:hAnsiTheme="minorHAnsi"/>
                <w:sz w:val="22"/>
                <w:szCs w:val="22"/>
              </w:rPr>
              <w:t> </w:t>
            </w:r>
            <w:r w:rsidRPr="00B048C4">
              <w:rPr>
                <w:rFonts w:asciiTheme="minorHAnsi" w:hAnsiTheme="minorHAnsi"/>
                <w:sz w:val="22"/>
                <w:szCs w:val="22"/>
              </w:rPr>
              <w:t>183/2006 Sb., o územním plánování a stavebním řádu (stavební zákon), ve znění pozdějších předpisů, a další související zákony</w:t>
            </w:r>
            <w:r>
              <w:rPr>
                <w:rFonts w:asciiTheme="minorHAnsi" w:hAnsiTheme="minorHAnsi"/>
                <w:sz w:val="22"/>
                <w:szCs w:val="22"/>
              </w:rPr>
              <w:t>, s účinností od 1. ledna 2018</w:t>
            </w:r>
            <w:r w:rsidRPr="00B048C4">
              <w:rPr>
                <w:rFonts w:asciiTheme="minorHAnsi" w:hAnsiTheme="minorHAnsi"/>
                <w:sz w:val="22"/>
                <w:szCs w:val="22"/>
              </w:rPr>
              <w:t xml:space="preserve">. </w:t>
            </w:r>
            <w:r>
              <w:rPr>
                <w:rFonts w:asciiTheme="minorHAnsi" w:hAnsiTheme="minorHAnsi"/>
                <w:sz w:val="22"/>
                <w:szCs w:val="22"/>
              </w:rPr>
              <w:t>V rámci této novely došlo k úpravě</w:t>
            </w:r>
            <w:r w:rsidRPr="00F67838">
              <w:rPr>
                <w:rFonts w:asciiTheme="minorHAnsi" w:hAnsiTheme="minorHAnsi"/>
                <w:sz w:val="22"/>
                <w:szCs w:val="22"/>
              </w:rPr>
              <w:t xml:space="preserve"> stavebního zákona </w:t>
            </w:r>
            <w:r>
              <w:rPr>
                <w:rFonts w:asciiTheme="minorHAnsi" w:hAnsiTheme="minorHAnsi"/>
                <w:sz w:val="22"/>
                <w:szCs w:val="22"/>
              </w:rPr>
              <w:t>a</w:t>
            </w:r>
            <w:r w:rsidRPr="00F67838">
              <w:rPr>
                <w:rFonts w:asciiTheme="minorHAnsi" w:hAnsiTheme="minorHAnsi"/>
                <w:sz w:val="22"/>
                <w:szCs w:val="22"/>
              </w:rPr>
              <w:t xml:space="preserve"> 4</w:t>
            </w:r>
            <w:r>
              <w:rPr>
                <w:rFonts w:asciiTheme="minorHAnsi" w:hAnsiTheme="minorHAnsi"/>
                <w:sz w:val="22"/>
                <w:szCs w:val="22"/>
              </w:rPr>
              <w:t>4</w:t>
            </w:r>
            <w:r w:rsidRPr="00F67838">
              <w:rPr>
                <w:rFonts w:asciiTheme="minorHAnsi" w:hAnsiTheme="minorHAnsi"/>
                <w:sz w:val="22"/>
                <w:szCs w:val="22"/>
              </w:rPr>
              <w:t xml:space="preserve"> souvisejících zákonů (zákon o posuzování vlivů na životní prostředí, zákon o urychlení výstavby dopravní, vodní a energetické infrastruktury a dalších předpisů).</w:t>
            </w:r>
            <w:r w:rsidRPr="00F67838" w:rsidDel="00BE5313">
              <w:rPr>
                <w:rFonts w:asciiTheme="minorHAnsi" w:hAnsiTheme="minorHAnsi"/>
                <w:sz w:val="22"/>
                <w:szCs w:val="22"/>
              </w:rPr>
              <w:t xml:space="preserve"> </w:t>
            </w:r>
            <w:r>
              <w:rPr>
                <w:rFonts w:asciiTheme="minorHAnsi" w:hAnsiTheme="minorHAnsi"/>
                <w:sz w:val="22"/>
                <w:szCs w:val="22"/>
              </w:rPr>
              <w:t>N</w:t>
            </w:r>
            <w:r w:rsidRPr="00F67838">
              <w:rPr>
                <w:rFonts w:asciiTheme="minorHAnsi" w:hAnsiTheme="minorHAnsi"/>
                <w:sz w:val="22"/>
                <w:szCs w:val="22"/>
              </w:rPr>
              <w:t xml:space="preserve">a úseku územního plánování </w:t>
            </w:r>
            <w:r>
              <w:rPr>
                <w:rFonts w:asciiTheme="minorHAnsi" w:hAnsiTheme="minorHAnsi"/>
                <w:sz w:val="22"/>
                <w:szCs w:val="22"/>
              </w:rPr>
              <w:t xml:space="preserve">byly </w:t>
            </w:r>
            <w:r w:rsidRPr="00F67838">
              <w:rPr>
                <w:rFonts w:asciiTheme="minorHAnsi" w:hAnsiTheme="minorHAnsi"/>
                <w:sz w:val="22"/>
                <w:szCs w:val="22"/>
              </w:rPr>
              <w:t>uprave</w:t>
            </w:r>
            <w:r>
              <w:rPr>
                <w:rFonts w:asciiTheme="minorHAnsi" w:hAnsiTheme="minorHAnsi"/>
                <w:sz w:val="22"/>
                <w:szCs w:val="22"/>
              </w:rPr>
              <w:t>ny</w:t>
            </w:r>
            <w:r w:rsidRPr="00F67838">
              <w:rPr>
                <w:rFonts w:asciiTheme="minorHAnsi" w:hAnsiTheme="minorHAnsi"/>
                <w:sz w:val="22"/>
                <w:szCs w:val="22"/>
              </w:rPr>
              <w:t xml:space="preserve"> postupy vedoucí ke zkrácení procesů pořizování aktualizací a</w:t>
            </w:r>
            <w:r>
              <w:rPr>
                <w:rFonts w:asciiTheme="minorHAnsi" w:hAnsiTheme="minorHAnsi"/>
                <w:sz w:val="22"/>
                <w:szCs w:val="22"/>
              </w:rPr>
              <w:t> </w:t>
            </w:r>
            <w:r w:rsidRPr="00F67838">
              <w:rPr>
                <w:rFonts w:asciiTheme="minorHAnsi" w:hAnsiTheme="minorHAnsi"/>
                <w:sz w:val="22"/>
                <w:szCs w:val="22"/>
              </w:rPr>
              <w:t xml:space="preserve">změn územně plánovacích dokumentací v případech, kdy nebudou vyžadovány varianty řešení. V těchto případech bude aktualizaci </w:t>
            </w:r>
            <w:r>
              <w:rPr>
                <w:rFonts w:asciiTheme="minorHAnsi" w:hAnsiTheme="minorHAnsi"/>
                <w:sz w:val="22"/>
                <w:szCs w:val="22"/>
              </w:rPr>
              <w:t>zásad územního rozvoje</w:t>
            </w:r>
            <w:r w:rsidRPr="00F67838">
              <w:rPr>
                <w:rFonts w:asciiTheme="minorHAnsi" w:hAnsiTheme="minorHAnsi"/>
                <w:sz w:val="22"/>
                <w:szCs w:val="22"/>
              </w:rPr>
              <w:t xml:space="preserve"> nebo změnu územního plánu možné pořídit a vydat zkráceným postupem</w:t>
            </w:r>
            <w:r>
              <w:rPr>
                <w:rFonts w:asciiTheme="minorHAnsi" w:hAnsiTheme="minorHAnsi"/>
                <w:sz w:val="22"/>
                <w:szCs w:val="22"/>
              </w:rPr>
              <w:t>, a to</w:t>
            </w:r>
            <w:r w:rsidRPr="00F67838">
              <w:rPr>
                <w:rFonts w:asciiTheme="minorHAnsi" w:hAnsiTheme="minorHAnsi"/>
                <w:sz w:val="22"/>
                <w:szCs w:val="22"/>
              </w:rPr>
              <w:t xml:space="preserve"> při zachování všech práv dotčených osob. Postup aktualizace zásad územního rozvoje i změny územního plánu </w:t>
            </w:r>
            <w:r>
              <w:rPr>
                <w:rFonts w:asciiTheme="minorHAnsi" w:hAnsiTheme="minorHAnsi"/>
                <w:sz w:val="22"/>
                <w:szCs w:val="22"/>
              </w:rPr>
              <w:t xml:space="preserve">tedy </w:t>
            </w:r>
            <w:r w:rsidRPr="00F67838">
              <w:rPr>
                <w:rFonts w:asciiTheme="minorHAnsi" w:hAnsiTheme="minorHAnsi"/>
                <w:sz w:val="22"/>
                <w:szCs w:val="22"/>
              </w:rPr>
              <w:t>bude v těchto případech maximálně úsporný.</w:t>
            </w:r>
            <w:r w:rsidR="002B5C88" w:rsidRPr="009B2AFF">
              <w:rPr>
                <w:rFonts w:asciiTheme="minorHAnsi" w:hAnsiTheme="minorHAnsi"/>
                <w:sz w:val="22"/>
                <w:szCs w:val="22"/>
              </w:rPr>
              <w:t xml:space="preserve"> So</w:t>
            </w:r>
            <w:r w:rsidR="002B5C88" w:rsidRPr="00723951">
              <w:rPr>
                <w:rFonts w:asciiTheme="minorHAnsi" w:hAnsiTheme="minorHAnsi"/>
                <w:sz w:val="22"/>
                <w:szCs w:val="22"/>
              </w:rPr>
              <w:t xml:space="preserve">učástí </w:t>
            </w:r>
            <w:r w:rsidR="002B5C88">
              <w:rPr>
                <w:rFonts w:asciiTheme="minorHAnsi" w:hAnsiTheme="minorHAnsi"/>
                <w:sz w:val="22"/>
                <w:szCs w:val="22"/>
              </w:rPr>
              <w:t xml:space="preserve">změn </w:t>
            </w:r>
            <w:r w:rsidR="002B5C88" w:rsidRPr="00723951">
              <w:rPr>
                <w:rFonts w:asciiTheme="minorHAnsi" w:hAnsiTheme="minorHAnsi"/>
                <w:sz w:val="22"/>
                <w:szCs w:val="22"/>
              </w:rPr>
              <w:t>je</w:t>
            </w:r>
            <w:r w:rsidR="002B5C88">
              <w:rPr>
                <w:rFonts w:asciiTheme="minorHAnsi" w:hAnsiTheme="minorHAnsi"/>
                <w:sz w:val="22"/>
                <w:szCs w:val="22"/>
              </w:rPr>
              <w:t xml:space="preserve"> také</w:t>
            </w:r>
            <w:r w:rsidR="002B5C88" w:rsidRPr="00723951">
              <w:rPr>
                <w:rFonts w:asciiTheme="minorHAnsi" w:hAnsiTheme="minorHAnsi"/>
                <w:sz w:val="22"/>
                <w:szCs w:val="22"/>
              </w:rPr>
              <w:t xml:space="preserve"> zkrácení lhůt pro přezkum opatření obecné povahy podle správního řád</w:t>
            </w:r>
            <w:r w:rsidR="002B5C88">
              <w:rPr>
                <w:rFonts w:asciiTheme="minorHAnsi" w:hAnsiTheme="minorHAnsi"/>
                <w:sz w:val="22"/>
                <w:szCs w:val="22"/>
              </w:rPr>
              <w:t>u i soudního řádu správního na jeden</w:t>
            </w:r>
            <w:r w:rsidR="002B5C88" w:rsidRPr="00723951">
              <w:rPr>
                <w:rFonts w:asciiTheme="minorHAnsi" w:hAnsiTheme="minorHAnsi"/>
                <w:sz w:val="22"/>
                <w:szCs w:val="22"/>
              </w:rPr>
              <w:t xml:space="preserve"> rok.</w:t>
            </w:r>
            <w:r w:rsidR="002B5C88" w:rsidRPr="00DB087B">
              <w:rPr>
                <w:rFonts w:asciiTheme="minorHAnsi" w:hAnsiTheme="minorHAnsi" w:cs="Arial"/>
                <w:sz w:val="22"/>
                <w:szCs w:val="22"/>
              </w:rPr>
              <w:t xml:space="preserve"> </w:t>
            </w:r>
            <w:r w:rsidR="002B5C88">
              <w:rPr>
                <w:rFonts w:asciiTheme="minorHAnsi" w:hAnsiTheme="minorHAnsi" w:cs="Arial"/>
                <w:sz w:val="22"/>
                <w:szCs w:val="22"/>
              </w:rPr>
              <w:t>Další změnou je umožnění</w:t>
            </w:r>
            <w:r w:rsidR="002B5C88" w:rsidRPr="00DB087B">
              <w:rPr>
                <w:rFonts w:asciiTheme="minorHAnsi" w:hAnsiTheme="minorHAnsi" w:cs="Arial"/>
                <w:sz w:val="22"/>
                <w:szCs w:val="22"/>
              </w:rPr>
              <w:t xml:space="preserve"> obcím</w:t>
            </w:r>
            <w:r w:rsidR="002B5C88">
              <w:rPr>
                <w:rFonts w:asciiTheme="minorHAnsi" w:hAnsiTheme="minorHAnsi" w:cs="Arial"/>
                <w:sz w:val="22"/>
                <w:szCs w:val="22"/>
              </w:rPr>
              <w:t xml:space="preserve"> </w:t>
            </w:r>
            <w:r w:rsidR="002B5C88" w:rsidRPr="00DB087B">
              <w:rPr>
                <w:rFonts w:asciiTheme="minorHAnsi" w:hAnsiTheme="minorHAnsi" w:cs="Arial"/>
                <w:sz w:val="22"/>
                <w:szCs w:val="22"/>
              </w:rPr>
              <w:t xml:space="preserve">vymezit přímo </w:t>
            </w:r>
            <w:r w:rsidR="002B5C88" w:rsidRPr="00DB087B">
              <w:rPr>
                <w:rStyle w:val="Siln"/>
                <w:rFonts w:asciiTheme="minorHAnsi" w:hAnsiTheme="minorHAnsi" w:cs="Arial"/>
                <w:b w:val="0"/>
                <w:sz w:val="22"/>
                <w:szCs w:val="22"/>
              </w:rPr>
              <w:t>část územního plánu s prvky regulačního plánu</w:t>
            </w:r>
            <w:r w:rsidR="002B5C88" w:rsidRPr="00DB087B">
              <w:rPr>
                <w:rFonts w:asciiTheme="minorHAnsi" w:hAnsiTheme="minorHAnsi" w:cs="Arial"/>
                <w:sz w:val="22"/>
                <w:szCs w:val="22"/>
              </w:rPr>
              <w:t>.</w:t>
            </w:r>
            <w:r w:rsidRPr="00F67838">
              <w:rPr>
                <w:rFonts w:asciiTheme="minorHAnsi" w:hAnsiTheme="minorHAnsi"/>
                <w:sz w:val="22"/>
                <w:szCs w:val="22"/>
              </w:rPr>
              <w:t xml:space="preserve"> </w:t>
            </w:r>
            <w:r w:rsidRPr="00B048C4">
              <w:rPr>
                <w:rFonts w:asciiTheme="minorHAnsi" w:hAnsiTheme="minorHAnsi"/>
                <w:sz w:val="22"/>
                <w:szCs w:val="22"/>
              </w:rPr>
              <w:t xml:space="preserve">Na úseku územního rozhodování a stavebního řádu </w:t>
            </w:r>
            <w:r w:rsidRPr="00B048C4">
              <w:rPr>
                <w:rFonts w:asciiTheme="minorHAnsi" w:hAnsiTheme="minorHAnsi"/>
                <w:sz w:val="22"/>
                <w:szCs w:val="22"/>
              </w:rPr>
              <w:lastRenderedPageBreak/>
              <w:t>dochází ke</w:t>
            </w:r>
            <w:r w:rsidRPr="00F67838">
              <w:rPr>
                <w:rFonts w:asciiTheme="minorHAnsi" w:hAnsiTheme="minorHAnsi"/>
                <w:sz w:val="22"/>
                <w:szCs w:val="22"/>
              </w:rPr>
              <w:t xml:space="preserve"> spojení územního a stavebního řízení do jednoho společného řízení s</w:t>
            </w:r>
            <w:r w:rsidR="00186AC6">
              <w:rPr>
                <w:rFonts w:asciiTheme="minorHAnsi" w:hAnsiTheme="minorHAnsi"/>
                <w:sz w:val="22"/>
                <w:szCs w:val="22"/>
              </w:rPr>
              <w:t xml:space="preserve"> vydáváním </w:t>
            </w:r>
            <w:r w:rsidRPr="00F67838">
              <w:rPr>
                <w:rFonts w:asciiTheme="minorHAnsi" w:hAnsiTheme="minorHAnsi"/>
                <w:sz w:val="22"/>
                <w:szCs w:val="22"/>
              </w:rPr>
              <w:t>jednoho společného povolení, a to jak u jednotliv</w:t>
            </w:r>
            <w:r>
              <w:rPr>
                <w:rFonts w:asciiTheme="minorHAnsi" w:hAnsiTheme="minorHAnsi"/>
                <w:sz w:val="22"/>
                <w:szCs w:val="22"/>
              </w:rPr>
              <w:t>ých</w:t>
            </w:r>
            <w:r w:rsidRPr="00F67838">
              <w:rPr>
                <w:rFonts w:asciiTheme="minorHAnsi" w:hAnsiTheme="minorHAnsi"/>
                <w:sz w:val="22"/>
                <w:szCs w:val="22"/>
              </w:rPr>
              <w:t xml:space="preserve"> stav</w:t>
            </w:r>
            <w:r>
              <w:rPr>
                <w:rFonts w:asciiTheme="minorHAnsi" w:hAnsiTheme="minorHAnsi"/>
                <w:sz w:val="22"/>
                <w:szCs w:val="22"/>
              </w:rPr>
              <w:t>e</w:t>
            </w:r>
            <w:r w:rsidRPr="00F67838">
              <w:rPr>
                <w:rFonts w:asciiTheme="minorHAnsi" w:hAnsiTheme="minorHAnsi"/>
                <w:sz w:val="22"/>
                <w:szCs w:val="22"/>
              </w:rPr>
              <w:t>b, tak</w:t>
            </w:r>
            <w:r w:rsidR="00AD1FD7">
              <w:rPr>
                <w:rFonts w:asciiTheme="minorHAnsi" w:hAnsiTheme="minorHAnsi"/>
                <w:sz w:val="22"/>
                <w:szCs w:val="22"/>
              </w:rPr>
              <w:t xml:space="preserve"> </w:t>
            </w:r>
            <w:r w:rsidR="00186AC6">
              <w:rPr>
                <w:rFonts w:asciiTheme="minorHAnsi" w:hAnsiTheme="minorHAnsi"/>
                <w:sz w:val="22"/>
                <w:szCs w:val="22"/>
              </w:rPr>
              <w:t>také</w:t>
            </w:r>
            <w:r w:rsidRPr="00F67838">
              <w:rPr>
                <w:rFonts w:asciiTheme="minorHAnsi" w:hAnsiTheme="minorHAnsi"/>
                <w:sz w:val="22"/>
                <w:szCs w:val="22"/>
              </w:rPr>
              <w:t xml:space="preserve"> u</w:t>
            </w:r>
            <w:r w:rsidR="00AD1FD7">
              <w:rPr>
                <w:rFonts w:asciiTheme="minorHAnsi" w:hAnsiTheme="minorHAnsi"/>
                <w:sz w:val="22"/>
                <w:szCs w:val="22"/>
              </w:rPr>
              <w:t xml:space="preserve"> </w:t>
            </w:r>
            <w:r w:rsidRPr="00F67838">
              <w:rPr>
                <w:rFonts w:asciiTheme="minorHAnsi" w:hAnsiTheme="minorHAnsi"/>
                <w:sz w:val="22"/>
                <w:szCs w:val="22"/>
              </w:rPr>
              <w:t>souboru staveb (i u vybraných staveb speciálních a jiných)</w:t>
            </w:r>
            <w:r>
              <w:rPr>
                <w:rFonts w:asciiTheme="minorHAnsi" w:hAnsiTheme="minorHAnsi"/>
                <w:sz w:val="22"/>
                <w:szCs w:val="22"/>
              </w:rPr>
              <w:t>.</w:t>
            </w:r>
            <w:r>
              <w:t xml:space="preserve"> </w:t>
            </w:r>
            <w:r w:rsidRPr="00BE5313">
              <w:rPr>
                <w:rFonts w:asciiTheme="minorHAnsi" w:hAnsiTheme="minorHAnsi"/>
                <w:sz w:val="22"/>
                <w:szCs w:val="22"/>
              </w:rPr>
              <w:t>Proces posuzování vlivů na životní prostředí bude možn</w:t>
            </w:r>
            <w:r>
              <w:rPr>
                <w:rFonts w:asciiTheme="minorHAnsi" w:hAnsiTheme="minorHAnsi"/>
                <w:sz w:val="22"/>
                <w:szCs w:val="22"/>
              </w:rPr>
              <w:t>é</w:t>
            </w:r>
            <w:r w:rsidRPr="00BE5313">
              <w:rPr>
                <w:rFonts w:asciiTheme="minorHAnsi" w:hAnsiTheme="minorHAnsi"/>
                <w:sz w:val="22"/>
                <w:szCs w:val="22"/>
              </w:rPr>
              <w:t xml:space="preserve"> integrovat do společného řízení, popřípadě do samostatného územního řízení.</w:t>
            </w:r>
          </w:p>
          <w:p w14:paraId="49948A3D" w14:textId="6A8F77F9" w:rsidR="00D1501A" w:rsidRPr="00991A87" w:rsidRDefault="00CC1654" w:rsidP="00CC1654">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991A87">
              <w:rPr>
                <w:rFonts w:asciiTheme="minorHAnsi" w:hAnsiTheme="minorHAnsi"/>
                <w:sz w:val="22"/>
                <w:szCs w:val="22"/>
              </w:rPr>
              <w:t>D</w:t>
            </w:r>
            <w:r w:rsidR="00916D46">
              <w:rPr>
                <w:rFonts w:asciiTheme="minorHAnsi" w:hAnsiTheme="minorHAnsi"/>
                <w:sz w:val="22"/>
                <w:szCs w:val="22"/>
              </w:rPr>
              <w:t>ne 6. října 2017 byl vydán zákon č. 326/2017 Sb.</w:t>
            </w:r>
            <w:r w:rsidRPr="00991A87">
              <w:rPr>
                <w:rFonts w:asciiTheme="minorHAnsi" w:hAnsiTheme="minorHAnsi"/>
                <w:sz w:val="22"/>
                <w:szCs w:val="22"/>
              </w:rPr>
              <w:t>, kterým se mění zákon č.</w:t>
            </w:r>
            <w:r w:rsidR="00AD1FD7">
              <w:rPr>
                <w:rFonts w:asciiTheme="minorHAnsi" w:hAnsiTheme="minorHAnsi"/>
                <w:sz w:val="22"/>
                <w:szCs w:val="22"/>
              </w:rPr>
              <w:t> </w:t>
            </w:r>
            <w:r w:rsidRPr="00991A87">
              <w:rPr>
                <w:rFonts w:asciiTheme="minorHAnsi" w:hAnsiTheme="minorHAnsi"/>
                <w:sz w:val="22"/>
                <w:szCs w:val="22"/>
              </w:rPr>
              <w:t>100/2001 Sb., o posuzování vlivů na životní prostředí a o změně některých souvisejících zákonů (zákon o posuzování vlivů na životní prostředí), ve znění pozdějších předpisů,</w:t>
            </w:r>
            <w:r w:rsidR="00916D46">
              <w:rPr>
                <w:rFonts w:asciiTheme="minorHAnsi" w:hAnsiTheme="minorHAnsi"/>
                <w:sz w:val="22"/>
                <w:szCs w:val="22"/>
              </w:rPr>
              <w:t xml:space="preserve"> a jímž se provádí hlavně</w:t>
            </w:r>
            <w:r w:rsidRPr="00991A87">
              <w:rPr>
                <w:rFonts w:asciiTheme="minorHAnsi" w:hAnsiTheme="minorHAnsi"/>
                <w:sz w:val="22"/>
                <w:szCs w:val="22"/>
              </w:rPr>
              <w:t xml:space="preserve"> transpozic</w:t>
            </w:r>
            <w:r w:rsidR="00916D46">
              <w:rPr>
                <w:rFonts w:asciiTheme="minorHAnsi" w:hAnsiTheme="minorHAnsi"/>
                <w:sz w:val="22"/>
                <w:szCs w:val="22"/>
              </w:rPr>
              <w:t>e</w:t>
            </w:r>
            <w:r w:rsidR="00432FE2">
              <w:rPr>
                <w:rFonts w:asciiTheme="minorHAnsi" w:hAnsiTheme="minorHAnsi"/>
                <w:sz w:val="22"/>
                <w:szCs w:val="22"/>
              </w:rPr>
              <w:t xml:space="preserve"> </w:t>
            </w:r>
            <w:r w:rsidRPr="00991A87">
              <w:rPr>
                <w:rFonts w:asciiTheme="minorHAnsi" w:hAnsiTheme="minorHAnsi"/>
                <w:sz w:val="22"/>
                <w:szCs w:val="22"/>
              </w:rPr>
              <w:t>směrnice Evropského parlamentu a Rady 2014/52/EU ze dne 16. dubna 2014, kterou se mění směrnice</w:t>
            </w:r>
            <w:r w:rsidR="00916D46">
              <w:rPr>
                <w:rFonts w:asciiTheme="minorHAnsi" w:hAnsiTheme="minorHAnsi"/>
                <w:sz w:val="22"/>
                <w:szCs w:val="22"/>
              </w:rPr>
              <w:t xml:space="preserve"> Evropského parlamentu a</w:t>
            </w:r>
            <w:r w:rsidRPr="00991A87">
              <w:rPr>
                <w:rFonts w:asciiTheme="minorHAnsi" w:hAnsiTheme="minorHAnsi"/>
                <w:sz w:val="22"/>
                <w:szCs w:val="22"/>
              </w:rPr>
              <w:t xml:space="preserve"> Rady 2011/92/EU o posuzování vlivů některých</w:t>
            </w:r>
            <w:r w:rsidRPr="00432FE2">
              <w:rPr>
                <w:rFonts w:asciiTheme="minorHAnsi" w:hAnsiTheme="minorHAnsi"/>
                <w:sz w:val="22"/>
                <w:szCs w:val="22"/>
              </w:rPr>
              <w:t xml:space="preserve"> veřejných a</w:t>
            </w:r>
            <w:r w:rsidR="007D28DC" w:rsidRPr="00432FE2">
              <w:rPr>
                <w:rFonts w:asciiTheme="minorHAnsi" w:hAnsiTheme="minorHAnsi"/>
                <w:sz w:val="22"/>
                <w:szCs w:val="22"/>
              </w:rPr>
              <w:t> </w:t>
            </w:r>
            <w:r w:rsidRPr="00432FE2">
              <w:rPr>
                <w:rFonts w:asciiTheme="minorHAnsi" w:hAnsiTheme="minorHAnsi"/>
                <w:sz w:val="22"/>
                <w:szCs w:val="22"/>
              </w:rPr>
              <w:t xml:space="preserve">soukromých záměrů na životní prostředí. </w:t>
            </w:r>
            <w:r w:rsidR="005C15BC">
              <w:rPr>
                <w:rFonts w:asciiTheme="minorHAnsi" w:hAnsiTheme="minorHAnsi"/>
                <w:sz w:val="22"/>
                <w:szCs w:val="22"/>
              </w:rPr>
              <w:t>Součástí tohoto zákona jsou z</w:t>
            </w:r>
            <w:r w:rsidRPr="00432FE2">
              <w:rPr>
                <w:rFonts w:asciiTheme="minorHAnsi" w:hAnsiTheme="minorHAnsi"/>
                <w:sz w:val="22"/>
                <w:szCs w:val="22"/>
              </w:rPr>
              <w:t>ároveň další změny, jejichž cílem je zjednodušení právní úpravy.</w:t>
            </w:r>
          </w:p>
          <w:p w14:paraId="62882338" w14:textId="69C347C3" w:rsidR="00B2037C" w:rsidRPr="006B443D" w:rsidRDefault="00991A87" w:rsidP="00432FE2">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Dne 4. května 2015 b</w:t>
            </w:r>
            <w:r w:rsidR="00D1501A" w:rsidRPr="00991A87">
              <w:rPr>
                <w:rFonts w:asciiTheme="minorHAnsi" w:hAnsiTheme="minorHAnsi"/>
                <w:sz w:val="22"/>
                <w:szCs w:val="22"/>
              </w:rPr>
              <w:t>yl vydán zákon č. 103/2015 Sb., kterým se mění zákon č.</w:t>
            </w:r>
            <w:r>
              <w:rPr>
                <w:rFonts w:asciiTheme="minorHAnsi" w:hAnsiTheme="minorHAnsi"/>
                <w:sz w:val="22"/>
                <w:szCs w:val="22"/>
              </w:rPr>
              <w:t> </w:t>
            </w:r>
            <w:r w:rsidR="00D1501A" w:rsidRPr="00991A87">
              <w:rPr>
                <w:rFonts w:asciiTheme="minorHAnsi" w:hAnsiTheme="minorHAnsi"/>
                <w:sz w:val="22"/>
                <w:szCs w:val="22"/>
              </w:rPr>
              <w:t>406/2000 Sb., o</w:t>
            </w:r>
            <w:r w:rsidR="007D28DC" w:rsidRPr="00991A87">
              <w:rPr>
                <w:rFonts w:asciiTheme="minorHAnsi" w:hAnsiTheme="minorHAnsi"/>
                <w:sz w:val="22"/>
                <w:szCs w:val="22"/>
              </w:rPr>
              <w:t> </w:t>
            </w:r>
            <w:r w:rsidR="00D1501A" w:rsidRPr="00991A87">
              <w:rPr>
                <w:rFonts w:asciiTheme="minorHAnsi" w:hAnsiTheme="minorHAnsi"/>
                <w:sz w:val="22"/>
                <w:szCs w:val="22"/>
              </w:rPr>
              <w:t>hospodaření energií, a který vymezuje státní energetickou koncepci jako podklad pro zpracování politiky územního rozvoje a územní energetickou koncepci jako podklad pro zpracování zásad územního rozvoje a</w:t>
            </w:r>
            <w:r w:rsidR="00432FE2">
              <w:rPr>
                <w:rFonts w:asciiTheme="minorHAnsi" w:hAnsiTheme="minorHAnsi"/>
                <w:sz w:val="22"/>
                <w:szCs w:val="22"/>
              </w:rPr>
              <w:t> </w:t>
            </w:r>
            <w:r w:rsidR="00D1501A" w:rsidRPr="00991A87">
              <w:rPr>
                <w:rFonts w:asciiTheme="minorHAnsi" w:hAnsiTheme="minorHAnsi"/>
                <w:sz w:val="22"/>
                <w:szCs w:val="22"/>
              </w:rPr>
              <w:t>územního plánu.</w:t>
            </w:r>
          </w:p>
        </w:tc>
      </w:tr>
    </w:tbl>
    <w:p w14:paraId="1829762D" w14:textId="77777777" w:rsidR="00B2037C" w:rsidRDefault="00B2037C">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B2037C" w:rsidRPr="006B443D" w14:paraId="760ED1FB" w14:textId="77777777" w:rsidTr="00D1501A">
        <w:tc>
          <w:tcPr>
            <w:tcW w:w="833" w:type="pct"/>
            <w:shd w:val="clear" w:color="auto" w:fill="DBE5F1" w:themeFill="accent1" w:themeFillTint="33"/>
            <w:vAlign w:val="center"/>
          </w:tcPr>
          <w:p w14:paraId="09A75453" w14:textId="77777777" w:rsidR="00B2037C" w:rsidRPr="006B443D" w:rsidRDefault="00B2037C" w:rsidP="002C5FC9">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735A9B90" w14:textId="77777777" w:rsidR="00B2037C" w:rsidRPr="006B443D" w:rsidRDefault="00D1501A" w:rsidP="002C5FC9">
            <w:pPr>
              <w:keepNext/>
              <w:spacing w:before="120" w:after="120"/>
              <w:jc w:val="both"/>
              <w:rPr>
                <w:rFonts w:asciiTheme="minorHAnsi" w:hAnsiTheme="minorHAnsi"/>
                <w:b/>
                <w:sz w:val="22"/>
                <w:szCs w:val="22"/>
              </w:rPr>
            </w:pPr>
            <w:r w:rsidRPr="00D1501A">
              <w:rPr>
                <w:rFonts w:asciiTheme="minorHAnsi" w:hAnsiTheme="minorHAnsi"/>
                <w:b/>
                <w:sz w:val="22"/>
                <w:szCs w:val="22"/>
              </w:rPr>
              <w:t>Návrh nového atomového zákona</w:t>
            </w:r>
          </w:p>
        </w:tc>
      </w:tr>
      <w:tr w:rsidR="00B2037C" w:rsidRPr="006B443D" w14:paraId="668AC77D" w14:textId="77777777" w:rsidTr="00710291">
        <w:tc>
          <w:tcPr>
            <w:tcW w:w="833" w:type="pct"/>
            <w:vAlign w:val="center"/>
          </w:tcPr>
          <w:p w14:paraId="319A6EF7" w14:textId="77777777" w:rsidR="00B2037C" w:rsidRPr="006B443D" w:rsidRDefault="00B2037C"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0C9FB90C" w14:textId="77777777" w:rsidR="00B2037C" w:rsidRPr="006B443D" w:rsidRDefault="00D1501A" w:rsidP="00D1501A">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D1501A">
              <w:rPr>
                <w:rFonts w:asciiTheme="minorHAnsi" w:hAnsiTheme="minorHAnsi"/>
                <w:sz w:val="22"/>
                <w:szCs w:val="22"/>
              </w:rPr>
              <w:t>Aktualizace činnosti a kompetencí SÚJB v návaznosti na Evropskou legislativu.</w:t>
            </w:r>
          </w:p>
        </w:tc>
      </w:tr>
      <w:tr w:rsidR="00B2037C" w:rsidRPr="006B443D" w14:paraId="7DC5F66A" w14:textId="77777777" w:rsidTr="00710291">
        <w:tc>
          <w:tcPr>
            <w:tcW w:w="833" w:type="pct"/>
            <w:vAlign w:val="center"/>
          </w:tcPr>
          <w:p w14:paraId="75140735" w14:textId="77777777" w:rsidR="00B2037C" w:rsidRPr="006B443D" w:rsidRDefault="00B2037C"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1C6585AD" w14:textId="77777777" w:rsidR="00B2037C" w:rsidRPr="006B443D" w:rsidRDefault="00D1501A" w:rsidP="00D1501A">
            <w:pPr>
              <w:spacing w:before="120" w:after="120"/>
              <w:jc w:val="both"/>
              <w:rPr>
                <w:rFonts w:asciiTheme="minorHAnsi" w:hAnsiTheme="minorHAnsi"/>
                <w:sz w:val="22"/>
                <w:szCs w:val="22"/>
              </w:rPr>
            </w:pPr>
            <w:r w:rsidRPr="00D1501A">
              <w:rPr>
                <w:rFonts w:asciiTheme="minorHAnsi" w:hAnsiTheme="minorHAnsi"/>
                <w:sz w:val="22"/>
                <w:szCs w:val="22"/>
              </w:rPr>
              <w:t>MPO, SÚJB</w:t>
            </w:r>
          </w:p>
        </w:tc>
      </w:tr>
      <w:tr w:rsidR="00B2037C" w:rsidRPr="006B443D" w14:paraId="1B47D7C1" w14:textId="77777777" w:rsidTr="00710291">
        <w:tc>
          <w:tcPr>
            <w:tcW w:w="833" w:type="pct"/>
            <w:vAlign w:val="center"/>
          </w:tcPr>
          <w:p w14:paraId="2E8B4608" w14:textId="77777777" w:rsidR="00B2037C" w:rsidRPr="006B443D" w:rsidRDefault="00B2037C"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300A6EC2" w14:textId="77777777" w:rsidR="00B2037C" w:rsidRPr="006B443D" w:rsidRDefault="00D1501A" w:rsidP="00D1501A">
            <w:pPr>
              <w:spacing w:before="120" w:after="120"/>
              <w:jc w:val="both"/>
              <w:rPr>
                <w:rFonts w:asciiTheme="minorHAnsi" w:hAnsiTheme="minorHAnsi"/>
                <w:sz w:val="22"/>
                <w:szCs w:val="22"/>
              </w:rPr>
            </w:pPr>
            <w:r>
              <w:rPr>
                <w:rFonts w:asciiTheme="minorHAnsi" w:hAnsiTheme="minorHAnsi"/>
                <w:sz w:val="22"/>
                <w:szCs w:val="22"/>
              </w:rPr>
              <w:t>31. 12. 2015</w:t>
            </w:r>
          </w:p>
        </w:tc>
      </w:tr>
      <w:tr w:rsidR="00B2037C" w:rsidRPr="006B443D" w14:paraId="361C0ACD" w14:textId="77777777" w:rsidTr="00710291">
        <w:tc>
          <w:tcPr>
            <w:tcW w:w="833" w:type="pct"/>
            <w:vAlign w:val="center"/>
          </w:tcPr>
          <w:p w14:paraId="2E2CC155" w14:textId="77777777" w:rsidR="00B2037C" w:rsidRPr="006B443D" w:rsidRDefault="00B2037C"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0601B8E4" w14:textId="77777777" w:rsidR="00D1501A" w:rsidRPr="00D1501A" w:rsidRDefault="00D1501A" w:rsidP="00D1501A">
            <w:pPr>
              <w:overflowPunct w:val="0"/>
              <w:autoSpaceDE w:val="0"/>
              <w:autoSpaceDN w:val="0"/>
              <w:adjustRightInd w:val="0"/>
              <w:spacing w:before="120" w:after="120"/>
              <w:jc w:val="both"/>
              <w:textAlignment w:val="baseline"/>
              <w:rPr>
                <w:rFonts w:asciiTheme="minorHAnsi" w:hAnsiTheme="minorHAnsi"/>
                <w:b/>
                <w:sz w:val="22"/>
                <w:szCs w:val="22"/>
              </w:rPr>
            </w:pPr>
            <w:r w:rsidRPr="00D1501A">
              <w:rPr>
                <w:rFonts w:asciiTheme="minorHAnsi" w:hAnsiTheme="minorHAnsi"/>
                <w:b/>
                <w:sz w:val="22"/>
                <w:szCs w:val="22"/>
              </w:rPr>
              <w:t>Splněno</w:t>
            </w:r>
          </w:p>
          <w:p w14:paraId="0B1EC298" w14:textId="28256BA8" w:rsidR="00B2037C" w:rsidRPr="006B443D" w:rsidRDefault="005A4B4B" w:rsidP="005A4B4B">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Dne 14 července 2016 b</w:t>
            </w:r>
            <w:r w:rsidR="00D1501A" w:rsidRPr="00D1501A">
              <w:rPr>
                <w:rFonts w:asciiTheme="minorHAnsi" w:hAnsiTheme="minorHAnsi"/>
                <w:sz w:val="22"/>
                <w:szCs w:val="22"/>
              </w:rPr>
              <w:t>yl vydán zákon č. 263/2016 Sb., atomový</w:t>
            </w:r>
            <w:r>
              <w:rPr>
                <w:rFonts w:asciiTheme="minorHAnsi" w:hAnsiTheme="minorHAnsi"/>
                <w:sz w:val="22"/>
                <w:szCs w:val="22"/>
              </w:rPr>
              <w:t xml:space="preserve"> zákon</w:t>
            </w:r>
            <w:r w:rsidR="00D1501A" w:rsidRPr="00D1501A">
              <w:rPr>
                <w:rFonts w:asciiTheme="minorHAnsi" w:hAnsiTheme="minorHAnsi"/>
                <w:sz w:val="22"/>
                <w:szCs w:val="22"/>
              </w:rPr>
              <w:t>.</w:t>
            </w:r>
          </w:p>
        </w:tc>
      </w:tr>
    </w:tbl>
    <w:p w14:paraId="6CD71C2F" w14:textId="77777777" w:rsidR="00B2037C" w:rsidRDefault="00B2037C">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B2037C" w:rsidRPr="006B443D" w14:paraId="4F32DFDF" w14:textId="77777777" w:rsidTr="00D1501A">
        <w:tc>
          <w:tcPr>
            <w:tcW w:w="833" w:type="pct"/>
            <w:shd w:val="clear" w:color="auto" w:fill="DBE5F1" w:themeFill="accent1" w:themeFillTint="33"/>
            <w:vAlign w:val="center"/>
          </w:tcPr>
          <w:p w14:paraId="13611C61" w14:textId="77777777" w:rsidR="00B2037C" w:rsidRPr="006B443D" w:rsidRDefault="00B2037C" w:rsidP="002C5FC9">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0F8A7EE5" w14:textId="77777777" w:rsidR="00B2037C" w:rsidRPr="006B443D" w:rsidRDefault="00D1501A" w:rsidP="002C5FC9">
            <w:pPr>
              <w:keepNext/>
              <w:spacing w:before="120" w:after="120"/>
              <w:jc w:val="both"/>
              <w:rPr>
                <w:rFonts w:asciiTheme="minorHAnsi" w:hAnsiTheme="minorHAnsi"/>
                <w:b/>
                <w:sz w:val="22"/>
                <w:szCs w:val="22"/>
              </w:rPr>
            </w:pPr>
            <w:r w:rsidRPr="00D1501A">
              <w:rPr>
                <w:rFonts w:asciiTheme="minorHAnsi" w:hAnsiTheme="minorHAnsi"/>
                <w:b/>
                <w:sz w:val="22"/>
                <w:szCs w:val="22"/>
              </w:rPr>
              <w:t>Návrh novelizace zákona o odpadech</w:t>
            </w:r>
          </w:p>
        </w:tc>
      </w:tr>
      <w:tr w:rsidR="00B2037C" w:rsidRPr="006B443D" w14:paraId="3F04A6CE" w14:textId="77777777" w:rsidTr="00710291">
        <w:tc>
          <w:tcPr>
            <w:tcW w:w="833" w:type="pct"/>
            <w:vAlign w:val="center"/>
          </w:tcPr>
          <w:p w14:paraId="6DC34F31" w14:textId="77777777" w:rsidR="00B2037C" w:rsidRPr="006B443D" w:rsidRDefault="00B2037C"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78C1FB31" w14:textId="77777777" w:rsidR="00D1501A" w:rsidRPr="00D1501A" w:rsidRDefault="00D1501A" w:rsidP="00D1501A">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D1501A">
              <w:rPr>
                <w:rFonts w:asciiTheme="minorHAnsi" w:hAnsiTheme="minorHAnsi"/>
                <w:sz w:val="22"/>
                <w:szCs w:val="22"/>
              </w:rPr>
              <w:t>Zvýšení poplatků za skládkování a směřování jejich výnosů do podpory odpadového hospodářství.</w:t>
            </w:r>
          </w:p>
          <w:p w14:paraId="44CE7253" w14:textId="77777777" w:rsidR="00B2037C" w:rsidRPr="006B443D" w:rsidRDefault="00D1501A" w:rsidP="00D1501A">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D1501A">
              <w:rPr>
                <w:rFonts w:asciiTheme="minorHAnsi" w:hAnsiTheme="minorHAnsi"/>
                <w:sz w:val="22"/>
                <w:szCs w:val="22"/>
              </w:rPr>
              <w:t>Podporovat energetické využívání odpadů při respektování hierarchie nakládání s odpady.</w:t>
            </w:r>
          </w:p>
        </w:tc>
      </w:tr>
      <w:tr w:rsidR="00B2037C" w:rsidRPr="006B443D" w14:paraId="3BC60BE0" w14:textId="77777777" w:rsidTr="00710291">
        <w:tc>
          <w:tcPr>
            <w:tcW w:w="833" w:type="pct"/>
            <w:vAlign w:val="center"/>
          </w:tcPr>
          <w:p w14:paraId="307FFFB5" w14:textId="77777777" w:rsidR="00B2037C" w:rsidRPr="006B443D" w:rsidRDefault="00B2037C"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3981988C" w14:textId="77777777" w:rsidR="00B2037C" w:rsidRPr="006B443D" w:rsidRDefault="00D1501A" w:rsidP="00D1501A">
            <w:pPr>
              <w:spacing w:before="120" w:after="120"/>
              <w:jc w:val="both"/>
              <w:rPr>
                <w:rFonts w:asciiTheme="minorHAnsi" w:hAnsiTheme="minorHAnsi"/>
                <w:sz w:val="22"/>
                <w:szCs w:val="22"/>
              </w:rPr>
            </w:pPr>
            <w:r>
              <w:rPr>
                <w:rFonts w:asciiTheme="minorHAnsi" w:hAnsiTheme="minorHAnsi"/>
                <w:sz w:val="22"/>
                <w:szCs w:val="22"/>
              </w:rPr>
              <w:t>MŽP</w:t>
            </w:r>
          </w:p>
        </w:tc>
      </w:tr>
      <w:tr w:rsidR="00B2037C" w:rsidRPr="006B443D" w14:paraId="7238E0DD" w14:textId="77777777" w:rsidTr="00710291">
        <w:tc>
          <w:tcPr>
            <w:tcW w:w="833" w:type="pct"/>
            <w:vAlign w:val="center"/>
          </w:tcPr>
          <w:p w14:paraId="37C2621F" w14:textId="77777777" w:rsidR="00B2037C" w:rsidRPr="006B443D" w:rsidRDefault="00B2037C"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373B1F9F" w14:textId="77777777" w:rsidR="00B2037C" w:rsidRPr="006B443D" w:rsidRDefault="00D1501A" w:rsidP="00D1501A">
            <w:pPr>
              <w:spacing w:before="120" w:after="120"/>
              <w:jc w:val="both"/>
              <w:rPr>
                <w:rFonts w:asciiTheme="minorHAnsi" w:hAnsiTheme="minorHAnsi"/>
                <w:sz w:val="22"/>
                <w:szCs w:val="22"/>
              </w:rPr>
            </w:pPr>
            <w:r>
              <w:rPr>
                <w:rFonts w:asciiTheme="minorHAnsi" w:hAnsiTheme="minorHAnsi"/>
                <w:sz w:val="22"/>
                <w:szCs w:val="22"/>
              </w:rPr>
              <w:t>31. 12. 2015</w:t>
            </w:r>
          </w:p>
        </w:tc>
      </w:tr>
      <w:tr w:rsidR="00B2037C" w:rsidRPr="006B443D" w14:paraId="29EE06F0" w14:textId="77777777" w:rsidTr="00710291">
        <w:tc>
          <w:tcPr>
            <w:tcW w:w="833" w:type="pct"/>
            <w:vAlign w:val="center"/>
          </w:tcPr>
          <w:p w14:paraId="0B1770C7" w14:textId="77777777" w:rsidR="00B2037C" w:rsidRPr="006B443D" w:rsidRDefault="00B2037C"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1D4E4AC0" w14:textId="77777777" w:rsidR="00D1501A" w:rsidRPr="00D1501A" w:rsidRDefault="00D1501A" w:rsidP="00D1501A">
            <w:pPr>
              <w:overflowPunct w:val="0"/>
              <w:autoSpaceDE w:val="0"/>
              <w:autoSpaceDN w:val="0"/>
              <w:adjustRightInd w:val="0"/>
              <w:spacing w:before="120" w:after="120"/>
              <w:jc w:val="both"/>
              <w:textAlignment w:val="baseline"/>
              <w:rPr>
                <w:rFonts w:asciiTheme="minorHAnsi" w:hAnsiTheme="minorHAnsi"/>
                <w:b/>
                <w:sz w:val="22"/>
                <w:szCs w:val="22"/>
              </w:rPr>
            </w:pPr>
            <w:r w:rsidRPr="00D1501A">
              <w:rPr>
                <w:rFonts w:asciiTheme="minorHAnsi" w:hAnsiTheme="minorHAnsi"/>
                <w:b/>
                <w:sz w:val="22"/>
                <w:szCs w:val="22"/>
              </w:rPr>
              <w:t>Plnění probíhá</w:t>
            </w:r>
          </w:p>
          <w:p w14:paraId="33C84738" w14:textId="028804DE" w:rsidR="004B404F" w:rsidRDefault="00B20011" w:rsidP="00B20011">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461B68">
              <w:rPr>
                <w:rFonts w:asciiTheme="minorHAnsi" w:hAnsiTheme="minorHAnsi"/>
                <w:sz w:val="22"/>
                <w:szCs w:val="22"/>
              </w:rPr>
              <w:t>Byl připraven návrh nového zákona o odpadech.</w:t>
            </w:r>
            <w:r w:rsidR="004B404F">
              <w:rPr>
                <w:rFonts w:asciiTheme="minorHAnsi" w:hAnsiTheme="minorHAnsi"/>
                <w:sz w:val="22"/>
                <w:szCs w:val="22"/>
              </w:rPr>
              <w:t xml:space="preserve"> </w:t>
            </w:r>
            <w:r w:rsidR="004B404F" w:rsidRPr="0075201C">
              <w:rPr>
                <w:rFonts w:asciiTheme="minorHAnsi" w:hAnsiTheme="minorHAnsi"/>
                <w:sz w:val="22"/>
                <w:szCs w:val="22"/>
              </w:rPr>
              <w:t xml:space="preserve">Jednou z hlavních priorit návrhu je významný odklon odpadů ze skládek a jejich přesměrování do zařízení na </w:t>
            </w:r>
            <w:r w:rsidR="004B404F">
              <w:rPr>
                <w:rFonts w:asciiTheme="minorHAnsi" w:hAnsiTheme="minorHAnsi"/>
                <w:sz w:val="22"/>
                <w:szCs w:val="22"/>
              </w:rPr>
              <w:t xml:space="preserve">jejich </w:t>
            </w:r>
            <w:r w:rsidR="004B404F" w:rsidRPr="0075201C">
              <w:rPr>
                <w:rFonts w:asciiTheme="minorHAnsi" w:hAnsiTheme="minorHAnsi"/>
                <w:sz w:val="22"/>
                <w:szCs w:val="22"/>
              </w:rPr>
              <w:t xml:space="preserve">materiálové a energetické využití, což jsou způsoby nakládání, které jsou výše v závazné hierarchii nakládání s odpady než skládkování. Skládkování je nejméně preferovaný způsob nakládání s odpady a mělo by být postupně zásadním způsobem redukováno. Návrh v této oblasti nastavuje nové sazby poplatku za ukládání tzv. recyklovatelných a využitelných odpadů na skládky tak, </w:t>
            </w:r>
            <w:r w:rsidR="004B404F" w:rsidRPr="0075201C">
              <w:rPr>
                <w:rFonts w:asciiTheme="minorHAnsi" w:hAnsiTheme="minorHAnsi"/>
                <w:sz w:val="22"/>
                <w:szCs w:val="22"/>
              </w:rPr>
              <w:lastRenderedPageBreak/>
              <w:t xml:space="preserve">aby došlo k ekonomickému znevýhodnění skládkování těchto odpadů </w:t>
            </w:r>
            <w:r w:rsidR="004B404F">
              <w:rPr>
                <w:rFonts w:asciiTheme="minorHAnsi" w:hAnsiTheme="minorHAnsi"/>
                <w:sz w:val="22"/>
                <w:szCs w:val="22"/>
              </w:rPr>
              <w:t>oproti</w:t>
            </w:r>
            <w:r w:rsidR="004B404F" w:rsidRPr="0075201C">
              <w:rPr>
                <w:rFonts w:asciiTheme="minorHAnsi" w:hAnsiTheme="minorHAnsi"/>
                <w:sz w:val="22"/>
                <w:szCs w:val="22"/>
              </w:rPr>
              <w:t xml:space="preserve"> vhodnějším způsobům nakládání s </w:t>
            </w:r>
            <w:r w:rsidR="004B404F">
              <w:rPr>
                <w:rFonts w:asciiTheme="minorHAnsi" w:hAnsiTheme="minorHAnsi"/>
                <w:sz w:val="22"/>
                <w:szCs w:val="22"/>
              </w:rPr>
              <w:t>nimi</w:t>
            </w:r>
            <w:r w:rsidR="004B404F" w:rsidRPr="0075201C">
              <w:rPr>
                <w:rFonts w:asciiTheme="minorHAnsi" w:hAnsiTheme="minorHAnsi"/>
                <w:sz w:val="22"/>
                <w:szCs w:val="22"/>
              </w:rPr>
              <w:t>. Dále návrh přebírá již z existující právní úpravy zákaz skládkování recyklovatelných a využitelných odpadů od roku 2024.</w:t>
            </w:r>
          </w:p>
          <w:p w14:paraId="5F967407" w14:textId="535548F1" w:rsidR="0075201C" w:rsidRPr="00461B68" w:rsidRDefault="00207202" w:rsidP="003B1273">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Návrh nového zákona o odpadech</w:t>
            </w:r>
            <w:r>
              <w:t xml:space="preserve"> </w:t>
            </w:r>
            <w:r>
              <w:rPr>
                <w:rFonts w:asciiTheme="minorHAnsi" w:hAnsiTheme="minorHAnsi"/>
                <w:sz w:val="22"/>
                <w:szCs w:val="22"/>
              </w:rPr>
              <w:t>byl upraven</w:t>
            </w:r>
            <w:r w:rsidRPr="002927E5">
              <w:rPr>
                <w:rFonts w:asciiTheme="minorHAnsi" w:hAnsiTheme="minorHAnsi"/>
                <w:sz w:val="22"/>
                <w:szCs w:val="22"/>
              </w:rPr>
              <w:t xml:space="preserve"> s ohledem na nově přijatou evropskou legislativu v rámci tzv. balíčku k oběhovému hospodářství (</w:t>
            </w:r>
            <w:proofErr w:type="spellStart"/>
            <w:r w:rsidRPr="002927E5">
              <w:rPr>
                <w:rFonts w:asciiTheme="minorHAnsi" w:hAnsiTheme="minorHAnsi"/>
                <w:sz w:val="22"/>
                <w:szCs w:val="22"/>
              </w:rPr>
              <w:t>circular</w:t>
            </w:r>
            <w:proofErr w:type="spellEnd"/>
            <w:r w:rsidRPr="002927E5">
              <w:rPr>
                <w:rFonts w:asciiTheme="minorHAnsi" w:hAnsiTheme="minorHAnsi"/>
                <w:sz w:val="22"/>
                <w:szCs w:val="22"/>
              </w:rPr>
              <w:t xml:space="preserve"> </w:t>
            </w:r>
            <w:proofErr w:type="spellStart"/>
            <w:r w:rsidRPr="002927E5">
              <w:rPr>
                <w:rFonts w:asciiTheme="minorHAnsi" w:hAnsiTheme="minorHAnsi"/>
                <w:sz w:val="22"/>
                <w:szCs w:val="22"/>
              </w:rPr>
              <w:t>economy</w:t>
            </w:r>
            <w:proofErr w:type="spellEnd"/>
            <w:r w:rsidRPr="002927E5">
              <w:rPr>
                <w:rFonts w:asciiTheme="minorHAnsi" w:hAnsiTheme="minorHAnsi"/>
                <w:sz w:val="22"/>
                <w:szCs w:val="22"/>
              </w:rPr>
              <w:t xml:space="preserve"> </w:t>
            </w:r>
            <w:proofErr w:type="spellStart"/>
            <w:r w:rsidRPr="002927E5">
              <w:rPr>
                <w:rFonts w:asciiTheme="minorHAnsi" w:hAnsiTheme="minorHAnsi"/>
                <w:sz w:val="22"/>
                <w:szCs w:val="22"/>
              </w:rPr>
              <w:t>package</w:t>
            </w:r>
            <w:proofErr w:type="spellEnd"/>
            <w:r w:rsidRPr="002927E5">
              <w:rPr>
                <w:rFonts w:asciiTheme="minorHAnsi" w:hAnsiTheme="minorHAnsi"/>
                <w:sz w:val="22"/>
                <w:szCs w:val="22"/>
              </w:rPr>
              <w:t>), kt</w:t>
            </w:r>
            <w:r>
              <w:rPr>
                <w:rFonts w:asciiTheme="minorHAnsi" w:hAnsiTheme="minorHAnsi"/>
                <w:sz w:val="22"/>
                <w:szCs w:val="22"/>
              </w:rPr>
              <w:t>erý byl přijat v květnu 2018. Předpokládá se</w:t>
            </w:r>
            <w:r w:rsidRPr="002927E5">
              <w:rPr>
                <w:rFonts w:asciiTheme="minorHAnsi" w:hAnsiTheme="minorHAnsi"/>
                <w:sz w:val="22"/>
                <w:szCs w:val="22"/>
              </w:rPr>
              <w:t xml:space="preserve"> projednání </w:t>
            </w:r>
            <w:r>
              <w:rPr>
                <w:rFonts w:asciiTheme="minorHAnsi" w:hAnsiTheme="minorHAnsi"/>
                <w:sz w:val="22"/>
                <w:szCs w:val="22"/>
              </w:rPr>
              <w:t xml:space="preserve">návrhu zákona </w:t>
            </w:r>
            <w:r w:rsidRPr="002927E5">
              <w:rPr>
                <w:rFonts w:asciiTheme="minorHAnsi" w:hAnsiTheme="minorHAnsi"/>
                <w:sz w:val="22"/>
                <w:szCs w:val="22"/>
              </w:rPr>
              <w:t xml:space="preserve">v mezirezortním připomínkovém řízení </w:t>
            </w:r>
            <w:r>
              <w:rPr>
                <w:rFonts w:asciiTheme="minorHAnsi" w:hAnsiTheme="minorHAnsi"/>
                <w:sz w:val="22"/>
                <w:szCs w:val="22"/>
              </w:rPr>
              <w:t>do konce roku</w:t>
            </w:r>
            <w:r w:rsidRPr="002927E5">
              <w:rPr>
                <w:rFonts w:asciiTheme="minorHAnsi" w:hAnsiTheme="minorHAnsi"/>
                <w:sz w:val="22"/>
                <w:szCs w:val="22"/>
              </w:rPr>
              <w:t xml:space="preserve"> 2018.</w:t>
            </w:r>
          </w:p>
        </w:tc>
      </w:tr>
    </w:tbl>
    <w:p w14:paraId="2B8CE939" w14:textId="77777777" w:rsidR="00B2037C" w:rsidRDefault="00B2037C">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D1501A" w:rsidRPr="006B443D" w14:paraId="1E3183BC" w14:textId="77777777" w:rsidTr="00710291">
        <w:tc>
          <w:tcPr>
            <w:tcW w:w="833" w:type="pct"/>
            <w:shd w:val="clear" w:color="auto" w:fill="DBE5F1" w:themeFill="accent1" w:themeFillTint="33"/>
            <w:vAlign w:val="center"/>
          </w:tcPr>
          <w:p w14:paraId="57DC06D9" w14:textId="77777777" w:rsidR="00D1501A" w:rsidRPr="006B443D" w:rsidRDefault="00D1501A" w:rsidP="002C5FC9">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2EFF9630" w14:textId="77777777" w:rsidR="00D1501A" w:rsidRPr="006B443D" w:rsidRDefault="00201BF8" w:rsidP="002C5FC9">
            <w:pPr>
              <w:keepNext/>
              <w:spacing w:before="120" w:after="120"/>
              <w:jc w:val="both"/>
              <w:rPr>
                <w:rFonts w:asciiTheme="minorHAnsi" w:hAnsiTheme="minorHAnsi"/>
                <w:b/>
                <w:sz w:val="22"/>
                <w:szCs w:val="22"/>
              </w:rPr>
            </w:pPr>
            <w:r w:rsidRPr="00201BF8">
              <w:rPr>
                <w:rFonts w:asciiTheme="minorHAnsi" w:hAnsiTheme="minorHAnsi"/>
                <w:b/>
                <w:sz w:val="22"/>
                <w:szCs w:val="22"/>
              </w:rPr>
              <w:t>Návrh novelizace zákona o ochraně ovzduší</w:t>
            </w:r>
          </w:p>
        </w:tc>
      </w:tr>
      <w:tr w:rsidR="00D1501A" w:rsidRPr="006B443D" w14:paraId="25DA330F" w14:textId="77777777" w:rsidTr="00710291">
        <w:tc>
          <w:tcPr>
            <w:tcW w:w="833" w:type="pct"/>
            <w:vAlign w:val="center"/>
          </w:tcPr>
          <w:p w14:paraId="6C978408"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0BB124B7" w14:textId="77777777" w:rsidR="00D1501A" w:rsidRPr="006B443D" w:rsidRDefault="00201BF8" w:rsidP="00201BF8">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201BF8">
              <w:rPr>
                <w:rFonts w:asciiTheme="minorHAnsi" w:hAnsiTheme="minorHAnsi"/>
                <w:sz w:val="22"/>
                <w:szCs w:val="22"/>
              </w:rPr>
              <w:t>Omezit sortiment paliv využitelných v malých spalovacích stacionárních zdrojích provozovaných na úrovni domácností.</w:t>
            </w:r>
          </w:p>
        </w:tc>
      </w:tr>
      <w:tr w:rsidR="00D1501A" w:rsidRPr="006B443D" w14:paraId="3362E4F4" w14:textId="77777777" w:rsidTr="00710291">
        <w:tc>
          <w:tcPr>
            <w:tcW w:w="833" w:type="pct"/>
            <w:vAlign w:val="center"/>
          </w:tcPr>
          <w:p w14:paraId="3EE5913A"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0801428E" w14:textId="77777777" w:rsidR="00D1501A" w:rsidRPr="006B443D" w:rsidRDefault="00201BF8" w:rsidP="00710291">
            <w:pPr>
              <w:spacing w:before="120" w:after="120"/>
              <w:jc w:val="both"/>
              <w:rPr>
                <w:rFonts w:asciiTheme="minorHAnsi" w:hAnsiTheme="minorHAnsi"/>
                <w:sz w:val="22"/>
                <w:szCs w:val="22"/>
              </w:rPr>
            </w:pPr>
            <w:r w:rsidRPr="00201BF8">
              <w:rPr>
                <w:rFonts w:asciiTheme="minorHAnsi" w:hAnsiTheme="minorHAnsi"/>
                <w:sz w:val="22"/>
                <w:szCs w:val="22"/>
              </w:rPr>
              <w:t>MŽP, v součinnosti s MPO</w:t>
            </w:r>
          </w:p>
        </w:tc>
      </w:tr>
      <w:tr w:rsidR="00D1501A" w:rsidRPr="006B443D" w14:paraId="1DA92978" w14:textId="77777777" w:rsidTr="00710291">
        <w:tc>
          <w:tcPr>
            <w:tcW w:w="833" w:type="pct"/>
            <w:vAlign w:val="center"/>
          </w:tcPr>
          <w:p w14:paraId="73F63449"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4740D7F2" w14:textId="77777777" w:rsidR="00D1501A" w:rsidRPr="006B443D" w:rsidRDefault="00201BF8" w:rsidP="00710291">
            <w:pPr>
              <w:spacing w:before="120" w:after="120"/>
              <w:jc w:val="both"/>
              <w:rPr>
                <w:rFonts w:asciiTheme="minorHAnsi" w:hAnsiTheme="minorHAnsi"/>
                <w:sz w:val="22"/>
                <w:szCs w:val="22"/>
              </w:rPr>
            </w:pPr>
            <w:r>
              <w:rPr>
                <w:rFonts w:asciiTheme="minorHAnsi" w:hAnsiTheme="minorHAnsi"/>
                <w:sz w:val="22"/>
                <w:szCs w:val="22"/>
              </w:rPr>
              <w:t>31. 12. 2015</w:t>
            </w:r>
          </w:p>
        </w:tc>
      </w:tr>
      <w:tr w:rsidR="00D1501A" w:rsidRPr="006B443D" w14:paraId="55D271F4" w14:textId="77777777" w:rsidTr="00710291">
        <w:tc>
          <w:tcPr>
            <w:tcW w:w="833" w:type="pct"/>
            <w:vAlign w:val="center"/>
          </w:tcPr>
          <w:p w14:paraId="7DA8B02A"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4B7B37B7" w14:textId="76AA2863" w:rsidR="00201BF8" w:rsidRPr="00E018C5" w:rsidRDefault="001E5F95" w:rsidP="00201BF8">
            <w:pPr>
              <w:overflowPunct w:val="0"/>
              <w:autoSpaceDE w:val="0"/>
              <w:autoSpaceDN w:val="0"/>
              <w:adjustRightInd w:val="0"/>
              <w:spacing w:before="120" w:after="120"/>
              <w:jc w:val="both"/>
              <w:textAlignment w:val="baseline"/>
              <w:rPr>
                <w:rFonts w:asciiTheme="minorHAnsi" w:hAnsiTheme="minorHAnsi"/>
                <w:b/>
                <w:sz w:val="22"/>
                <w:szCs w:val="22"/>
              </w:rPr>
            </w:pPr>
            <w:r>
              <w:rPr>
                <w:rFonts w:asciiTheme="minorHAnsi" w:hAnsiTheme="minorHAnsi"/>
                <w:b/>
                <w:sz w:val="22"/>
                <w:szCs w:val="22"/>
              </w:rPr>
              <w:t>Splněno dílčím způsobem</w:t>
            </w:r>
          </w:p>
          <w:p w14:paraId="51153614" w14:textId="772BBC34" w:rsidR="00201BF8" w:rsidRPr="00E018C5" w:rsidRDefault="00201BF8" w:rsidP="00201BF8">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E018C5">
              <w:rPr>
                <w:rFonts w:asciiTheme="minorHAnsi" w:hAnsiTheme="minorHAnsi"/>
                <w:sz w:val="22"/>
                <w:szCs w:val="22"/>
              </w:rPr>
              <w:t>Možnosti naplnění byly analyzovány v rámci přípravy Národního programu snižování emisí</w:t>
            </w:r>
            <w:r w:rsidR="00B87399">
              <w:rPr>
                <w:rFonts w:asciiTheme="minorHAnsi" w:hAnsiTheme="minorHAnsi"/>
                <w:sz w:val="22"/>
                <w:szCs w:val="22"/>
              </w:rPr>
              <w:t xml:space="preserve"> a</w:t>
            </w:r>
            <w:r w:rsidRPr="00E018C5">
              <w:rPr>
                <w:rFonts w:asciiTheme="minorHAnsi" w:hAnsiTheme="minorHAnsi"/>
                <w:sz w:val="22"/>
                <w:szCs w:val="22"/>
              </w:rPr>
              <w:t xml:space="preserve"> částečně je omezení sortimentu paliv využitelných v malých stacionárních zdrojích zahrnuto v opatření BA3 a DA1 tohoto programu. Zákon o</w:t>
            </w:r>
            <w:r w:rsidR="007D28DC" w:rsidRPr="00E018C5">
              <w:rPr>
                <w:rFonts w:asciiTheme="minorHAnsi" w:hAnsiTheme="minorHAnsi"/>
                <w:sz w:val="22"/>
                <w:szCs w:val="22"/>
              </w:rPr>
              <w:t> </w:t>
            </w:r>
            <w:r w:rsidRPr="00E018C5">
              <w:rPr>
                <w:rFonts w:asciiTheme="minorHAnsi" w:hAnsiTheme="minorHAnsi"/>
                <w:sz w:val="22"/>
                <w:szCs w:val="22"/>
              </w:rPr>
              <w:t>ochraně ovzduší již také obsahuje některé nástroje k omezení méně kvalitních sort hnědého uhlí prostřednictvím požadavků na kvalitu paliv a dalších opatření směřujících ke zdrojům využívajícím uhlí, které budou mít dopady na celkové množství uhlí spotřebované v sektoru domácností. MŽP ve spolupráci s MPO také připravilo nové opatření DB10, jehož cílem je zamezení možnosti využívat hnědé uhlí ve spalovacích stacionárních zdrojích o jmenovitém tepelném příkonu do 300 kW. Opatření bude realizováno, po provedení právní analýzy, zákazem prodeje spalovacích stacionárních zdrojů spalujících hnědé uhlí. Zákaz prodeje by měl být platný od 1. ledna 2025 s tím, že</w:t>
            </w:r>
            <w:r w:rsidR="00E723F1">
              <w:rPr>
                <w:rFonts w:asciiTheme="minorHAnsi" w:hAnsiTheme="minorHAnsi"/>
                <w:sz w:val="22"/>
                <w:szCs w:val="22"/>
              </w:rPr>
              <w:t xml:space="preserve"> omezení provozu těchto zdrojů, respektive </w:t>
            </w:r>
            <w:r w:rsidRPr="00E018C5">
              <w:rPr>
                <w:rFonts w:asciiTheme="minorHAnsi" w:hAnsiTheme="minorHAnsi"/>
                <w:sz w:val="22"/>
                <w:szCs w:val="22"/>
              </w:rPr>
              <w:t>omezení spalování hnědého uhlí</w:t>
            </w:r>
            <w:r w:rsidR="00E723F1">
              <w:rPr>
                <w:rFonts w:asciiTheme="minorHAnsi" w:hAnsiTheme="minorHAnsi"/>
                <w:sz w:val="22"/>
                <w:szCs w:val="22"/>
              </w:rPr>
              <w:t>,</w:t>
            </w:r>
            <w:r w:rsidRPr="00E018C5">
              <w:rPr>
                <w:rFonts w:asciiTheme="minorHAnsi" w:hAnsiTheme="minorHAnsi"/>
                <w:sz w:val="22"/>
                <w:szCs w:val="22"/>
              </w:rPr>
              <w:t xml:space="preserve"> bude probíhat postupně s</w:t>
            </w:r>
            <w:r w:rsidR="007D28DC" w:rsidRPr="00E018C5">
              <w:rPr>
                <w:rFonts w:asciiTheme="minorHAnsi" w:hAnsiTheme="minorHAnsi"/>
                <w:sz w:val="22"/>
                <w:szCs w:val="22"/>
              </w:rPr>
              <w:t> </w:t>
            </w:r>
            <w:r w:rsidRPr="00E018C5">
              <w:rPr>
                <w:rFonts w:asciiTheme="minorHAnsi" w:hAnsiTheme="minorHAnsi"/>
                <w:sz w:val="22"/>
                <w:szCs w:val="22"/>
              </w:rPr>
              <w:t xml:space="preserve">ukončováním </w:t>
            </w:r>
            <w:r w:rsidR="00E723F1">
              <w:rPr>
                <w:rFonts w:asciiTheme="minorHAnsi" w:hAnsiTheme="minorHAnsi"/>
                <w:sz w:val="22"/>
                <w:szCs w:val="22"/>
              </w:rPr>
              <w:t xml:space="preserve">jejich </w:t>
            </w:r>
            <w:r w:rsidRPr="00E018C5">
              <w:rPr>
                <w:rFonts w:asciiTheme="minorHAnsi" w:hAnsiTheme="minorHAnsi"/>
                <w:sz w:val="22"/>
                <w:szCs w:val="22"/>
              </w:rPr>
              <w:t>životnosti.</w:t>
            </w:r>
          </w:p>
          <w:p w14:paraId="35C88BDC" w14:textId="56C0A4F1" w:rsidR="00201BF8" w:rsidRPr="00E018C5" w:rsidRDefault="005A4B4B" w:rsidP="000943DA">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Dne 14. listopadu 2016 b</w:t>
            </w:r>
            <w:r w:rsidR="00BB1D98" w:rsidRPr="00E018C5">
              <w:rPr>
                <w:rFonts w:asciiTheme="minorHAnsi" w:hAnsiTheme="minorHAnsi"/>
                <w:sz w:val="22"/>
                <w:szCs w:val="22"/>
              </w:rPr>
              <w:t>yl vydán zákon č. 369/2016 Sb., kterým se mění zákon č. 201/2012 Sb., o ochraně ovzduší</w:t>
            </w:r>
            <w:r>
              <w:rPr>
                <w:rFonts w:asciiTheme="minorHAnsi" w:hAnsiTheme="minorHAnsi"/>
                <w:sz w:val="22"/>
                <w:szCs w:val="22"/>
              </w:rPr>
              <w:t>,</w:t>
            </w:r>
            <w:r w:rsidR="00BB1D98" w:rsidRPr="00E018C5">
              <w:rPr>
                <w:rFonts w:asciiTheme="minorHAnsi" w:hAnsiTheme="minorHAnsi"/>
                <w:sz w:val="22"/>
                <w:szCs w:val="22"/>
              </w:rPr>
              <w:t xml:space="preserve"> a </w:t>
            </w:r>
            <w:r>
              <w:rPr>
                <w:rFonts w:asciiTheme="minorHAnsi" w:hAnsiTheme="minorHAnsi"/>
                <w:sz w:val="22"/>
                <w:szCs w:val="22"/>
              </w:rPr>
              <w:t>jenž</w:t>
            </w:r>
            <w:r w:rsidR="00BB1D98" w:rsidRPr="00E018C5">
              <w:rPr>
                <w:rFonts w:asciiTheme="minorHAnsi" w:hAnsiTheme="minorHAnsi"/>
                <w:sz w:val="22"/>
                <w:szCs w:val="22"/>
              </w:rPr>
              <w:t xml:space="preserve"> mimo jiné v návaznosti na požadavek usnesení vlády</w:t>
            </w:r>
            <w:r w:rsidR="006B0EF1">
              <w:rPr>
                <w:rFonts w:asciiTheme="minorHAnsi" w:hAnsiTheme="minorHAnsi"/>
                <w:sz w:val="22"/>
                <w:szCs w:val="22"/>
              </w:rPr>
              <w:t xml:space="preserve"> ČR</w:t>
            </w:r>
            <w:r w:rsidR="00BB1D98" w:rsidRPr="00E018C5">
              <w:rPr>
                <w:rFonts w:asciiTheme="minorHAnsi" w:hAnsiTheme="minorHAnsi"/>
                <w:sz w:val="22"/>
                <w:szCs w:val="22"/>
              </w:rPr>
              <w:t xml:space="preserve"> č. 547 ze dne 24. července 2013 zavádí změny umožňující řešit problematiku zkvalitňování ovzduší obcí</w:t>
            </w:r>
            <w:r w:rsidR="000943DA" w:rsidRPr="00E018C5">
              <w:rPr>
                <w:rFonts w:asciiTheme="minorHAnsi" w:hAnsiTheme="minorHAnsi"/>
                <w:sz w:val="22"/>
                <w:szCs w:val="22"/>
              </w:rPr>
              <w:t>, které je</w:t>
            </w:r>
            <w:r w:rsidR="00BB1D98" w:rsidRPr="00E018C5">
              <w:rPr>
                <w:rFonts w:asciiTheme="minorHAnsi" w:hAnsiTheme="minorHAnsi"/>
                <w:sz w:val="22"/>
                <w:szCs w:val="22"/>
              </w:rPr>
              <w:t xml:space="preserve"> ovlivňov</w:t>
            </w:r>
            <w:r w:rsidR="000943DA" w:rsidRPr="00E018C5">
              <w:rPr>
                <w:rFonts w:asciiTheme="minorHAnsi" w:hAnsiTheme="minorHAnsi"/>
                <w:sz w:val="22"/>
                <w:szCs w:val="22"/>
              </w:rPr>
              <w:t>áno</w:t>
            </w:r>
            <w:r w:rsidR="00BB1D98" w:rsidRPr="00E018C5">
              <w:rPr>
                <w:rFonts w:asciiTheme="minorHAnsi" w:hAnsiTheme="minorHAnsi"/>
                <w:sz w:val="22"/>
                <w:szCs w:val="22"/>
              </w:rPr>
              <w:t xml:space="preserve"> spalováním nekvalitního paliva</w:t>
            </w:r>
            <w:r w:rsidR="000943DA" w:rsidRPr="00E018C5">
              <w:rPr>
                <w:rFonts w:asciiTheme="minorHAnsi" w:hAnsiTheme="minorHAnsi"/>
                <w:sz w:val="22"/>
                <w:szCs w:val="22"/>
              </w:rPr>
              <w:t>.</w:t>
            </w:r>
          </w:p>
          <w:p w14:paraId="69AA54A8" w14:textId="61F8914D" w:rsidR="00201BF8" w:rsidRPr="00E018C5" w:rsidRDefault="000943DA" w:rsidP="00201BF8">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E018C5">
              <w:rPr>
                <w:rFonts w:asciiTheme="minorHAnsi" w:hAnsiTheme="minorHAnsi"/>
                <w:sz w:val="22"/>
                <w:szCs w:val="22"/>
              </w:rPr>
              <w:t>Byla zavedena</w:t>
            </w:r>
            <w:r w:rsidR="00201BF8" w:rsidRPr="00E018C5">
              <w:rPr>
                <w:rFonts w:asciiTheme="minorHAnsi" w:hAnsiTheme="minorHAnsi"/>
                <w:sz w:val="22"/>
                <w:szCs w:val="22"/>
              </w:rPr>
              <w:t xml:space="preserve"> možnost přímé kontroly provozu spalovacích stacionárních zdrojů v domácnostech. Ačkoli zákon o ochraně ovzduší obsah</w:t>
            </w:r>
            <w:r w:rsidRPr="00E018C5">
              <w:rPr>
                <w:rFonts w:asciiTheme="minorHAnsi" w:hAnsiTheme="minorHAnsi"/>
                <w:sz w:val="22"/>
                <w:szCs w:val="22"/>
              </w:rPr>
              <w:t>oval</w:t>
            </w:r>
            <w:r w:rsidR="00201BF8" w:rsidRPr="00E018C5">
              <w:rPr>
                <w:rFonts w:asciiTheme="minorHAnsi" w:hAnsiTheme="minorHAnsi"/>
                <w:sz w:val="22"/>
                <w:szCs w:val="22"/>
              </w:rPr>
              <w:t xml:space="preserve"> nástroje k</w:t>
            </w:r>
            <w:r w:rsidR="007D28DC" w:rsidRPr="00E018C5">
              <w:rPr>
                <w:rFonts w:asciiTheme="minorHAnsi" w:hAnsiTheme="minorHAnsi"/>
                <w:sz w:val="22"/>
                <w:szCs w:val="22"/>
              </w:rPr>
              <w:t> </w:t>
            </w:r>
            <w:r w:rsidR="00201BF8" w:rsidRPr="00E018C5">
              <w:rPr>
                <w:rFonts w:asciiTheme="minorHAnsi" w:hAnsiTheme="minorHAnsi"/>
                <w:sz w:val="22"/>
                <w:szCs w:val="22"/>
              </w:rPr>
              <w:t xml:space="preserve">regulaci emisí ze spalovacích zdrojů v domácnostech (zákaz spalování odpadu, emisní parametry zdrojů uváděných nově na trh, povinné kontroly stavu zdroje a jeho provozu, od roku 2022 pak i zákaz provozu zdrojů s nejhoršími emisními parametry), bez možnosti </w:t>
            </w:r>
            <w:r w:rsidR="00E723F1">
              <w:rPr>
                <w:rFonts w:asciiTheme="minorHAnsi" w:hAnsiTheme="minorHAnsi"/>
                <w:sz w:val="22"/>
                <w:szCs w:val="22"/>
              </w:rPr>
              <w:t xml:space="preserve">provádění </w:t>
            </w:r>
            <w:r w:rsidR="00201BF8" w:rsidRPr="00E018C5">
              <w:rPr>
                <w:rFonts w:asciiTheme="minorHAnsi" w:hAnsiTheme="minorHAnsi"/>
                <w:sz w:val="22"/>
                <w:szCs w:val="22"/>
              </w:rPr>
              <w:t>přímých kontrol zdrojů</w:t>
            </w:r>
            <w:r w:rsidR="00E723F1">
              <w:rPr>
                <w:rFonts w:asciiTheme="minorHAnsi" w:hAnsiTheme="minorHAnsi"/>
                <w:sz w:val="22"/>
                <w:szCs w:val="22"/>
              </w:rPr>
              <w:t xml:space="preserve"> provo</w:t>
            </w:r>
            <w:r w:rsidR="00201BF8" w:rsidRPr="00E018C5">
              <w:rPr>
                <w:rFonts w:asciiTheme="minorHAnsi" w:hAnsiTheme="minorHAnsi"/>
                <w:sz w:val="22"/>
                <w:szCs w:val="22"/>
              </w:rPr>
              <w:t>zov</w:t>
            </w:r>
            <w:r w:rsidR="00E723F1">
              <w:rPr>
                <w:rFonts w:asciiTheme="minorHAnsi" w:hAnsiTheme="minorHAnsi"/>
                <w:sz w:val="22"/>
                <w:szCs w:val="22"/>
              </w:rPr>
              <w:t>aných</w:t>
            </w:r>
            <w:r w:rsidR="00201BF8" w:rsidRPr="00E018C5">
              <w:rPr>
                <w:rFonts w:asciiTheme="minorHAnsi" w:hAnsiTheme="minorHAnsi"/>
                <w:sz w:val="22"/>
                <w:szCs w:val="22"/>
              </w:rPr>
              <w:t xml:space="preserve"> v</w:t>
            </w:r>
            <w:r w:rsidR="00E723F1">
              <w:rPr>
                <w:rFonts w:asciiTheme="minorHAnsi" w:hAnsiTheme="minorHAnsi"/>
                <w:sz w:val="22"/>
                <w:szCs w:val="22"/>
              </w:rPr>
              <w:t> </w:t>
            </w:r>
            <w:r w:rsidR="00201BF8" w:rsidRPr="00E018C5">
              <w:rPr>
                <w:rFonts w:asciiTheme="minorHAnsi" w:hAnsiTheme="minorHAnsi"/>
                <w:sz w:val="22"/>
                <w:szCs w:val="22"/>
              </w:rPr>
              <w:t xml:space="preserve">domácnostech </w:t>
            </w:r>
            <w:r w:rsidRPr="00E018C5">
              <w:rPr>
                <w:rFonts w:asciiTheme="minorHAnsi" w:hAnsiTheme="minorHAnsi"/>
                <w:sz w:val="22"/>
                <w:szCs w:val="22"/>
              </w:rPr>
              <w:t>byly</w:t>
            </w:r>
            <w:r w:rsidR="00201BF8" w:rsidRPr="00E018C5">
              <w:rPr>
                <w:rFonts w:asciiTheme="minorHAnsi" w:hAnsiTheme="minorHAnsi"/>
                <w:sz w:val="22"/>
                <w:szCs w:val="22"/>
              </w:rPr>
              <w:t xml:space="preserve"> tyto nástroje nevymahatelné.</w:t>
            </w:r>
          </w:p>
          <w:p w14:paraId="19D138B2" w14:textId="411D737A" w:rsidR="00D1501A" w:rsidRDefault="000943DA" w:rsidP="007D28DC">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E018C5">
              <w:rPr>
                <w:rFonts w:asciiTheme="minorHAnsi" w:hAnsiTheme="minorHAnsi"/>
                <w:sz w:val="22"/>
                <w:szCs w:val="22"/>
              </w:rPr>
              <w:t>Byla proto zavedena</w:t>
            </w:r>
            <w:r w:rsidR="00201BF8" w:rsidRPr="00E018C5">
              <w:rPr>
                <w:rFonts w:asciiTheme="minorHAnsi" w:hAnsiTheme="minorHAnsi"/>
                <w:sz w:val="22"/>
                <w:szCs w:val="22"/>
              </w:rPr>
              <w:t xml:space="preserve"> povinnost provozovatelů spalovacích stacionárních zdrojů umístěných v rodinných domech, bytech nebo ve stavbě pro rodinnou rekreaci umožnit osobám pověřeným obecním úřadem obce s rozšířenou působností přístup ke zdroji a jeho příslušenství a k používaným palivům za účelem kontroly dodržování povinností podle zákona o ochraně ovzduší. Podmínkou je,</w:t>
            </w:r>
            <w:r w:rsidR="00DE24ED">
              <w:rPr>
                <w:rFonts w:asciiTheme="minorHAnsi" w:hAnsiTheme="minorHAnsi"/>
                <w:sz w:val="22"/>
                <w:szCs w:val="22"/>
              </w:rPr>
              <w:t xml:space="preserve"> aby</w:t>
            </w:r>
            <w:r w:rsidR="00201BF8" w:rsidRPr="00E018C5">
              <w:rPr>
                <w:rFonts w:asciiTheme="minorHAnsi" w:hAnsiTheme="minorHAnsi"/>
                <w:sz w:val="22"/>
                <w:szCs w:val="22"/>
              </w:rPr>
              <w:t xml:space="preserve"> vznik</w:t>
            </w:r>
            <w:r w:rsidR="00DE24ED">
              <w:rPr>
                <w:rFonts w:asciiTheme="minorHAnsi" w:hAnsiTheme="minorHAnsi"/>
                <w:sz w:val="22"/>
                <w:szCs w:val="22"/>
              </w:rPr>
              <w:t>lo</w:t>
            </w:r>
            <w:r w:rsidR="00201BF8" w:rsidRPr="00E018C5">
              <w:rPr>
                <w:rFonts w:asciiTheme="minorHAnsi" w:hAnsiTheme="minorHAnsi"/>
                <w:sz w:val="22"/>
                <w:szCs w:val="22"/>
              </w:rPr>
              <w:t xml:space="preserve"> příslušnému orgánu ochrany ovzduší (obecnímu úřadu obce s rozšířenou </w:t>
            </w:r>
            <w:r w:rsidR="00201BF8" w:rsidRPr="00E018C5">
              <w:rPr>
                <w:rFonts w:asciiTheme="minorHAnsi" w:hAnsiTheme="minorHAnsi"/>
                <w:sz w:val="22"/>
                <w:szCs w:val="22"/>
              </w:rPr>
              <w:lastRenderedPageBreak/>
              <w:t>působností) opakovaně podezření, že stacionární zdroj je provozován v rozporu s povinnostmi stanovenými zákonem o ochraně ovzduší. V případě prvního podezření orgán ochrany ovzduší provozovatele pouze písemně upozorní a</w:t>
            </w:r>
            <w:r w:rsidR="00AD1FD7">
              <w:rPr>
                <w:rFonts w:asciiTheme="minorHAnsi" w:hAnsiTheme="minorHAnsi"/>
                <w:sz w:val="22"/>
                <w:szCs w:val="22"/>
              </w:rPr>
              <w:t> </w:t>
            </w:r>
            <w:r w:rsidR="00201BF8" w:rsidRPr="00E018C5">
              <w:rPr>
                <w:rFonts w:asciiTheme="minorHAnsi" w:hAnsiTheme="minorHAnsi"/>
                <w:sz w:val="22"/>
                <w:szCs w:val="22"/>
              </w:rPr>
              <w:t>poučí o povinnostech spojených s</w:t>
            </w:r>
            <w:r w:rsidR="007D28DC" w:rsidRPr="00E018C5">
              <w:rPr>
                <w:rFonts w:asciiTheme="minorHAnsi" w:hAnsiTheme="minorHAnsi"/>
                <w:sz w:val="22"/>
                <w:szCs w:val="22"/>
              </w:rPr>
              <w:t> </w:t>
            </w:r>
            <w:r w:rsidR="00201BF8" w:rsidRPr="00E018C5">
              <w:rPr>
                <w:rFonts w:asciiTheme="minorHAnsi" w:hAnsiTheme="minorHAnsi"/>
                <w:sz w:val="22"/>
                <w:szCs w:val="22"/>
              </w:rPr>
              <w:t>provozem spalovacího zdroje. V návaznosti na druhé podezření na porušování zákona bude obecní úřad obce s rozšířenou působností oprávněn provést kontrolu zdroje.</w:t>
            </w:r>
          </w:p>
          <w:p w14:paraId="4017464D" w14:textId="696F1872" w:rsidR="00710EE2" w:rsidRPr="00E018C5" w:rsidRDefault="00710EE2" w:rsidP="007D28DC">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Dne 16. srpna 2018 byl vydán zákon č. 172/2018 Sb., kterým se mění zákon č. 201/2012 Sb., o ochraně ovzduší a jež zavádí možnost obci vyhláškou zakázat na vymezeném území spalování vybraných druhů pevných paliv ve stacionárních zdrojích, které nesplňují požadavky přílohy č. 11 k tomuto zákonu. Tato úprava zákona umožňuje obecně závaznou vyhláškou zakázat určitý druh paliva v daném zdroji i třeba jen na části obce. Zákaz se může vztahovat nejen na kotle, ale i na topidla.</w:t>
            </w:r>
          </w:p>
          <w:p w14:paraId="6609CFDD" w14:textId="77777777" w:rsidR="00167FC7" w:rsidRDefault="00167FC7" w:rsidP="00885B1F">
            <w:pPr>
              <w:pStyle w:val="Odstavecseseznamem"/>
              <w:numPr>
                <w:ilvl w:val="0"/>
                <w:numId w:val="4"/>
              </w:numPr>
              <w:overflowPunct w:val="0"/>
              <w:autoSpaceDE w:val="0"/>
              <w:autoSpaceDN w:val="0"/>
              <w:adjustRightInd w:val="0"/>
              <w:spacing w:before="120" w:after="120"/>
              <w:ind w:left="284" w:hanging="284"/>
              <w:jc w:val="both"/>
              <w:textAlignment w:val="baseline"/>
              <w:rPr>
                <w:rFonts w:ascii="Calibri" w:hAnsi="Calibri"/>
                <w:sz w:val="22"/>
                <w:szCs w:val="22"/>
              </w:rPr>
            </w:pPr>
            <w:r w:rsidRPr="00E018C5">
              <w:rPr>
                <w:rFonts w:ascii="Calibri" w:hAnsi="Calibri"/>
                <w:sz w:val="22"/>
                <w:szCs w:val="22"/>
              </w:rPr>
              <w:t>Jedním z možných nástrojů pro snížení spotřeby pevných paliv, respektive jejich omezení ve prospěch paliv s nižšími emisemi znečišťujících látek je zavedení určité podoby tzv. uhlíkové daně. V</w:t>
            </w:r>
            <w:r w:rsidR="005830B2" w:rsidRPr="00E018C5">
              <w:rPr>
                <w:rFonts w:ascii="Calibri" w:hAnsi="Calibri"/>
                <w:sz w:val="22"/>
                <w:szCs w:val="22"/>
              </w:rPr>
              <w:t> této věci uložila</w:t>
            </w:r>
            <w:r w:rsidRPr="00E018C5">
              <w:rPr>
                <w:rFonts w:ascii="Calibri" w:hAnsi="Calibri"/>
                <w:sz w:val="22"/>
                <w:szCs w:val="22"/>
              </w:rPr>
              <w:t xml:space="preserve"> </w:t>
            </w:r>
            <w:r w:rsidR="005830B2" w:rsidRPr="00E018C5">
              <w:rPr>
                <w:rFonts w:ascii="Calibri" w:hAnsi="Calibri"/>
                <w:sz w:val="22"/>
                <w:szCs w:val="22"/>
              </w:rPr>
              <w:t>vláda ČR,</w:t>
            </w:r>
            <w:r w:rsidRPr="00E018C5">
              <w:rPr>
                <w:rFonts w:ascii="Calibri" w:hAnsi="Calibri"/>
                <w:sz w:val="22"/>
                <w:szCs w:val="22"/>
              </w:rPr>
              <w:t xml:space="preserve"> usnesením č. 978 ze dne 2. prosince 2015</w:t>
            </w:r>
            <w:r w:rsidR="005830B2" w:rsidRPr="00E018C5">
              <w:rPr>
                <w:rFonts w:ascii="Calibri" w:hAnsi="Calibri"/>
                <w:sz w:val="22"/>
                <w:szCs w:val="22"/>
              </w:rPr>
              <w:t>,</w:t>
            </w:r>
            <w:r w:rsidRPr="00E018C5">
              <w:rPr>
                <w:rFonts w:ascii="Calibri" w:hAnsi="Calibri"/>
                <w:sz w:val="22"/>
                <w:szCs w:val="22"/>
              </w:rPr>
              <w:t xml:space="preserve"> ministru životního prostředí ve spolupráci s ministrem průmyslu a obchodu předložit</w:t>
            </w:r>
            <w:r w:rsidR="00E018C5">
              <w:rPr>
                <w:rFonts w:ascii="Calibri" w:hAnsi="Calibri"/>
                <w:sz w:val="22"/>
                <w:szCs w:val="22"/>
              </w:rPr>
              <w:t xml:space="preserve"> </w:t>
            </w:r>
            <w:r w:rsidRPr="00E018C5">
              <w:rPr>
                <w:rFonts w:ascii="Calibri" w:hAnsi="Calibri"/>
                <w:sz w:val="22"/>
                <w:szCs w:val="22"/>
              </w:rPr>
              <w:t>do 31.</w:t>
            </w:r>
            <w:r w:rsidR="005830B2" w:rsidRPr="00E018C5">
              <w:rPr>
                <w:rFonts w:ascii="Calibri" w:hAnsi="Calibri"/>
                <w:sz w:val="22"/>
                <w:szCs w:val="22"/>
              </w:rPr>
              <w:t> </w:t>
            </w:r>
            <w:r w:rsidRPr="00E018C5">
              <w:rPr>
                <w:rFonts w:ascii="Calibri" w:hAnsi="Calibri"/>
                <w:sz w:val="22"/>
                <w:szCs w:val="22"/>
              </w:rPr>
              <w:t>prosince 2016 analýzu variant řešení a</w:t>
            </w:r>
            <w:r w:rsidR="00E018C5">
              <w:rPr>
                <w:rFonts w:ascii="Calibri" w:hAnsi="Calibri"/>
                <w:sz w:val="22"/>
                <w:szCs w:val="22"/>
              </w:rPr>
              <w:t> </w:t>
            </w:r>
            <w:r w:rsidRPr="00E018C5">
              <w:rPr>
                <w:rFonts w:ascii="Calibri" w:hAnsi="Calibri"/>
                <w:sz w:val="22"/>
                <w:szCs w:val="22"/>
              </w:rPr>
              <w:t>jejich dopadů pro přípravu návrhu novely zákona č. 261/2007 Sb., o</w:t>
            </w:r>
            <w:r w:rsidR="00E018C5">
              <w:rPr>
                <w:rFonts w:ascii="Calibri" w:hAnsi="Calibri"/>
                <w:sz w:val="22"/>
                <w:szCs w:val="22"/>
              </w:rPr>
              <w:t> </w:t>
            </w:r>
            <w:r w:rsidRPr="00E018C5">
              <w:rPr>
                <w:rFonts w:ascii="Calibri" w:hAnsi="Calibri"/>
                <w:sz w:val="22"/>
                <w:szCs w:val="22"/>
              </w:rPr>
              <w:t>stabilizaci veřejných rozpočtů, která vytvoří podmínky pro snížení podílu pevných fosilních</w:t>
            </w:r>
            <w:r w:rsidR="005830B2" w:rsidRPr="00E018C5">
              <w:rPr>
                <w:rFonts w:ascii="Calibri" w:hAnsi="Calibri"/>
                <w:sz w:val="22"/>
                <w:szCs w:val="22"/>
              </w:rPr>
              <w:t xml:space="preserve"> </w:t>
            </w:r>
            <w:r w:rsidRPr="00E018C5">
              <w:rPr>
                <w:rFonts w:ascii="Calibri" w:hAnsi="Calibri"/>
                <w:sz w:val="22"/>
                <w:szCs w:val="22"/>
              </w:rPr>
              <w:t>paliv ve spalovacích stacionárních zdrojích nespadajících pod systém EU ETS. Na</w:t>
            </w:r>
            <w:r w:rsidR="00E018C5">
              <w:rPr>
                <w:rFonts w:ascii="Calibri" w:hAnsi="Calibri"/>
                <w:sz w:val="22"/>
                <w:szCs w:val="22"/>
              </w:rPr>
              <w:t> </w:t>
            </w:r>
            <w:r w:rsidRPr="00E018C5">
              <w:rPr>
                <w:rFonts w:ascii="Calibri" w:hAnsi="Calibri"/>
                <w:sz w:val="22"/>
                <w:szCs w:val="22"/>
              </w:rPr>
              <w:t>základě tohoto úkolu byl</w:t>
            </w:r>
            <w:r w:rsidR="00E018C5">
              <w:rPr>
                <w:rFonts w:ascii="Calibri" w:hAnsi="Calibri"/>
                <w:sz w:val="22"/>
                <w:szCs w:val="22"/>
              </w:rPr>
              <w:t>a</w:t>
            </w:r>
            <w:r w:rsidRPr="00E018C5">
              <w:rPr>
                <w:rFonts w:ascii="Calibri" w:hAnsi="Calibri"/>
                <w:sz w:val="22"/>
                <w:szCs w:val="22"/>
              </w:rPr>
              <w:t xml:space="preserve"> </w:t>
            </w:r>
            <w:r w:rsidR="00E018C5">
              <w:rPr>
                <w:rFonts w:ascii="Calibri" w:hAnsi="Calibri"/>
                <w:sz w:val="22"/>
                <w:szCs w:val="22"/>
              </w:rPr>
              <w:t>zpracována</w:t>
            </w:r>
            <w:r w:rsidRPr="00E018C5">
              <w:rPr>
                <w:rFonts w:ascii="Calibri" w:hAnsi="Calibri"/>
                <w:sz w:val="22"/>
                <w:szCs w:val="22"/>
              </w:rPr>
              <w:t xml:space="preserve"> Analýza k možnostem a dopadů</w:t>
            </w:r>
            <w:r w:rsidR="005830B2" w:rsidRPr="00E018C5">
              <w:rPr>
                <w:rFonts w:ascii="Calibri" w:hAnsi="Calibri"/>
                <w:sz w:val="22"/>
                <w:szCs w:val="22"/>
              </w:rPr>
              <w:t>m</w:t>
            </w:r>
            <w:r w:rsidRPr="00E018C5">
              <w:rPr>
                <w:rFonts w:ascii="Calibri" w:hAnsi="Calibri"/>
                <w:sz w:val="22"/>
                <w:szCs w:val="22"/>
              </w:rPr>
              <w:t xml:space="preserve"> zohlednění environmentálních prvků v sazbách spotřebních a energetických daní v</w:t>
            </w:r>
            <w:r w:rsidR="005830B2" w:rsidRPr="00E018C5">
              <w:rPr>
                <w:rFonts w:ascii="Calibri" w:hAnsi="Calibri"/>
                <w:sz w:val="22"/>
                <w:szCs w:val="22"/>
              </w:rPr>
              <w:t> </w:t>
            </w:r>
            <w:r w:rsidRPr="00E018C5">
              <w:rPr>
                <w:rFonts w:ascii="Calibri" w:hAnsi="Calibri"/>
                <w:sz w:val="22"/>
                <w:szCs w:val="22"/>
              </w:rPr>
              <w:t>Č</w:t>
            </w:r>
            <w:r w:rsidR="005830B2" w:rsidRPr="00E018C5">
              <w:rPr>
                <w:rFonts w:ascii="Calibri" w:hAnsi="Calibri"/>
                <w:sz w:val="22"/>
                <w:szCs w:val="22"/>
              </w:rPr>
              <w:t xml:space="preserve">R. </w:t>
            </w:r>
            <w:r w:rsidR="00885B1F">
              <w:rPr>
                <w:rFonts w:ascii="Calibri" w:hAnsi="Calibri"/>
                <w:sz w:val="22"/>
                <w:szCs w:val="22"/>
              </w:rPr>
              <w:t>Předmětnou</w:t>
            </w:r>
            <w:r w:rsidRPr="00E018C5">
              <w:rPr>
                <w:rFonts w:ascii="Calibri" w:hAnsi="Calibri"/>
                <w:sz w:val="22"/>
                <w:szCs w:val="22"/>
              </w:rPr>
              <w:t xml:space="preserve"> analýz</w:t>
            </w:r>
            <w:r w:rsidR="005830B2" w:rsidRPr="00E018C5">
              <w:rPr>
                <w:rFonts w:ascii="Calibri" w:hAnsi="Calibri"/>
                <w:sz w:val="22"/>
                <w:szCs w:val="22"/>
              </w:rPr>
              <w:t>u vláda ČR projednala</w:t>
            </w:r>
            <w:r w:rsidR="00885B1F">
              <w:rPr>
                <w:rFonts w:ascii="Calibri" w:hAnsi="Calibri"/>
                <w:sz w:val="22"/>
                <w:szCs w:val="22"/>
              </w:rPr>
              <w:t xml:space="preserve"> a</w:t>
            </w:r>
            <w:r w:rsidRPr="00E018C5">
              <w:rPr>
                <w:rFonts w:ascii="Calibri" w:hAnsi="Calibri"/>
                <w:sz w:val="22"/>
                <w:szCs w:val="22"/>
              </w:rPr>
              <w:t xml:space="preserve"> usnesení</w:t>
            </w:r>
            <w:r w:rsidR="00885B1F">
              <w:rPr>
                <w:rFonts w:ascii="Calibri" w:hAnsi="Calibri"/>
                <w:sz w:val="22"/>
                <w:szCs w:val="22"/>
              </w:rPr>
              <w:t>m</w:t>
            </w:r>
            <w:r w:rsidRPr="00E018C5">
              <w:rPr>
                <w:rFonts w:ascii="Calibri" w:hAnsi="Calibri"/>
                <w:sz w:val="22"/>
                <w:szCs w:val="22"/>
              </w:rPr>
              <w:t xml:space="preserve"> č. 6</w:t>
            </w:r>
            <w:r w:rsidR="00885B1F" w:rsidRPr="00E018C5">
              <w:rPr>
                <w:rFonts w:ascii="Calibri" w:hAnsi="Calibri"/>
                <w:sz w:val="22"/>
                <w:szCs w:val="22"/>
              </w:rPr>
              <w:t xml:space="preserve"> </w:t>
            </w:r>
            <w:r w:rsidR="00885B1F">
              <w:rPr>
                <w:rFonts w:ascii="Calibri" w:hAnsi="Calibri"/>
                <w:sz w:val="22"/>
                <w:szCs w:val="22"/>
              </w:rPr>
              <w:t xml:space="preserve">ze </w:t>
            </w:r>
            <w:r w:rsidR="00885B1F" w:rsidRPr="00E018C5">
              <w:rPr>
                <w:rFonts w:ascii="Calibri" w:hAnsi="Calibri"/>
                <w:sz w:val="22"/>
                <w:szCs w:val="22"/>
              </w:rPr>
              <w:t>dne 9.</w:t>
            </w:r>
            <w:r w:rsidR="00885B1F">
              <w:rPr>
                <w:rFonts w:ascii="Calibri" w:hAnsi="Calibri"/>
                <w:sz w:val="22"/>
                <w:szCs w:val="22"/>
              </w:rPr>
              <w:t> </w:t>
            </w:r>
            <w:r w:rsidR="00885B1F" w:rsidRPr="00E018C5">
              <w:rPr>
                <w:rFonts w:ascii="Calibri" w:hAnsi="Calibri"/>
                <w:sz w:val="22"/>
                <w:szCs w:val="22"/>
              </w:rPr>
              <w:t>ledna 2016</w:t>
            </w:r>
            <w:r w:rsidR="00885B1F">
              <w:rPr>
                <w:rFonts w:ascii="Calibri" w:hAnsi="Calibri"/>
                <w:sz w:val="22"/>
                <w:szCs w:val="22"/>
              </w:rPr>
              <w:t xml:space="preserve"> uložila</w:t>
            </w:r>
            <w:r w:rsidRPr="00E018C5">
              <w:rPr>
                <w:rFonts w:ascii="Calibri" w:hAnsi="Calibri"/>
                <w:sz w:val="22"/>
                <w:szCs w:val="22"/>
              </w:rPr>
              <w:t xml:space="preserve"> 1. místopředsedovi vlády pro ekonomiku a</w:t>
            </w:r>
            <w:r w:rsidR="005830B2" w:rsidRPr="00E018C5">
              <w:rPr>
                <w:rFonts w:ascii="Calibri" w:hAnsi="Calibri"/>
                <w:sz w:val="22"/>
                <w:szCs w:val="22"/>
              </w:rPr>
              <w:t> </w:t>
            </w:r>
            <w:r w:rsidRPr="00E018C5">
              <w:rPr>
                <w:rFonts w:ascii="Calibri" w:hAnsi="Calibri"/>
                <w:sz w:val="22"/>
                <w:szCs w:val="22"/>
              </w:rPr>
              <w:t>ministru financí ve spolupráci s ministry životního prostředí a průmyslu a obchodu na základě výsledků vyjednávání o přístupu ke snižování emisí v sektoru EU ETS a</w:t>
            </w:r>
            <w:r w:rsidR="00E018C5">
              <w:rPr>
                <w:rFonts w:ascii="Calibri" w:hAnsi="Calibri"/>
                <w:sz w:val="22"/>
                <w:szCs w:val="22"/>
              </w:rPr>
              <w:t> </w:t>
            </w:r>
            <w:r w:rsidR="00885B1F">
              <w:rPr>
                <w:rFonts w:ascii="Calibri" w:hAnsi="Calibri"/>
                <w:sz w:val="22"/>
                <w:szCs w:val="22"/>
              </w:rPr>
              <w:t xml:space="preserve">sektorech </w:t>
            </w:r>
            <w:r w:rsidR="00E018C5">
              <w:rPr>
                <w:rFonts w:ascii="Calibri" w:hAnsi="Calibri"/>
                <w:sz w:val="22"/>
                <w:szCs w:val="22"/>
              </w:rPr>
              <w:t>mimo</w:t>
            </w:r>
            <w:r w:rsidR="00885B1F">
              <w:rPr>
                <w:rFonts w:ascii="Calibri" w:hAnsi="Calibri"/>
                <w:sz w:val="22"/>
                <w:szCs w:val="22"/>
              </w:rPr>
              <w:t xml:space="preserve"> systém</w:t>
            </w:r>
            <w:r w:rsidR="00E018C5">
              <w:rPr>
                <w:rFonts w:ascii="Calibri" w:hAnsi="Calibri"/>
                <w:sz w:val="22"/>
                <w:szCs w:val="22"/>
              </w:rPr>
              <w:t xml:space="preserve"> EU</w:t>
            </w:r>
            <w:r w:rsidR="00885B1F">
              <w:rPr>
                <w:rFonts w:ascii="Calibri" w:hAnsi="Calibri"/>
                <w:sz w:val="22"/>
                <w:szCs w:val="22"/>
              </w:rPr>
              <w:t xml:space="preserve"> </w:t>
            </w:r>
            <w:r w:rsidR="00E018C5">
              <w:rPr>
                <w:rFonts w:ascii="Calibri" w:hAnsi="Calibri"/>
                <w:sz w:val="22"/>
                <w:szCs w:val="22"/>
              </w:rPr>
              <w:t xml:space="preserve">ETS aktualizovat </w:t>
            </w:r>
            <w:r w:rsidR="00885B1F">
              <w:rPr>
                <w:rFonts w:ascii="Calibri" w:hAnsi="Calibri"/>
                <w:sz w:val="22"/>
                <w:szCs w:val="22"/>
              </w:rPr>
              <w:t>uvedenou</w:t>
            </w:r>
            <w:r w:rsidR="00E018C5">
              <w:rPr>
                <w:rFonts w:ascii="Calibri" w:hAnsi="Calibri"/>
                <w:sz w:val="22"/>
                <w:szCs w:val="22"/>
              </w:rPr>
              <w:t xml:space="preserve"> </w:t>
            </w:r>
            <w:r w:rsidRPr="00E018C5">
              <w:rPr>
                <w:rFonts w:ascii="Calibri" w:hAnsi="Calibri"/>
                <w:sz w:val="22"/>
                <w:szCs w:val="22"/>
              </w:rPr>
              <w:t>analýzu</w:t>
            </w:r>
            <w:r w:rsidR="00885B1F">
              <w:rPr>
                <w:rFonts w:ascii="Calibri" w:hAnsi="Calibri"/>
                <w:sz w:val="22"/>
                <w:szCs w:val="22"/>
              </w:rPr>
              <w:t>, doplnit ji</w:t>
            </w:r>
            <w:r w:rsidRPr="00E018C5">
              <w:rPr>
                <w:rFonts w:ascii="Calibri" w:hAnsi="Calibri"/>
                <w:sz w:val="22"/>
                <w:szCs w:val="22"/>
              </w:rPr>
              <w:t xml:space="preserve"> o</w:t>
            </w:r>
            <w:r w:rsidR="005830B2" w:rsidRPr="00E018C5">
              <w:rPr>
                <w:rFonts w:ascii="Calibri" w:hAnsi="Calibri"/>
                <w:sz w:val="22"/>
                <w:szCs w:val="22"/>
              </w:rPr>
              <w:t> </w:t>
            </w:r>
            <w:r w:rsidRPr="00E018C5">
              <w:rPr>
                <w:rFonts w:ascii="Calibri" w:hAnsi="Calibri"/>
                <w:sz w:val="22"/>
                <w:szCs w:val="22"/>
              </w:rPr>
              <w:t>podrobnější odhad environmentálních dopadů a do 3</w:t>
            </w:r>
            <w:r w:rsidR="00E018C5" w:rsidRPr="00E018C5">
              <w:rPr>
                <w:rFonts w:ascii="Calibri" w:hAnsi="Calibri"/>
                <w:sz w:val="22"/>
                <w:szCs w:val="22"/>
              </w:rPr>
              <w:t>1. prosince 2018 předložit</w:t>
            </w:r>
            <w:r w:rsidR="00E018C5">
              <w:rPr>
                <w:rFonts w:ascii="Calibri" w:hAnsi="Calibri"/>
                <w:sz w:val="22"/>
                <w:szCs w:val="22"/>
              </w:rPr>
              <w:t xml:space="preserve"> </w:t>
            </w:r>
            <w:r w:rsidRPr="00E018C5">
              <w:rPr>
                <w:rFonts w:ascii="Calibri" w:hAnsi="Calibri"/>
                <w:sz w:val="22"/>
                <w:szCs w:val="22"/>
              </w:rPr>
              <w:t>doporučení k</w:t>
            </w:r>
            <w:r w:rsidR="00885B1F">
              <w:rPr>
                <w:rFonts w:ascii="Calibri" w:hAnsi="Calibri"/>
                <w:sz w:val="22"/>
                <w:szCs w:val="22"/>
              </w:rPr>
              <w:t> </w:t>
            </w:r>
            <w:r w:rsidRPr="00E018C5">
              <w:rPr>
                <w:rFonts w:ascii="Calibri" w:hAnsi="Calibri"/>
                <w:sz w:val="22"/>
                <w:szCs w:val="22"/>
              </w:rPr>
              <w:t>případnému zohlednění environmentálních prvků v</w:t>
            </w:r>
            <w:r w:rsidR="00E018C5" w:rsidRPr="00E018C5">
              <w:rPr>
                <w:rFonts w:ascii="Calibri" w:hAnsi="Calibri"/>
                <w:sz w:val="22"/>
                <w:szCs w:val="22"/>
              </w:rPr>
              <w:t> </w:t>
            </w:r>
            <w:r w:rsidRPr="00E018C5">
              <w:rPr>
                <w:rFonts w:ascii="Calibri" w:hAnsi="Calibri"/>
                <w:sz w:val="22"/>
                <w:szCs w:val="22"/>
              </w:rPr>
              <w:t>sazbách spotřebních a</w:t>
            </w:r>
            <w:r w:rsidR="00E018C5">
              <w:rPr>
                <w:rFonts w:ascii="Calibri" w:hAnsi="Calibri"/>
                <w:sz w:val="22"/>
                <w:szCs w:val="22"/>
              </w:rPr>
              <w:t> </w:t>
            </w:r>
            <w:r w:rsidRPr="00E018C5">
              <w:rPr>
                <w:rFonts w:ascii="Calibri" w:hAnsi="Calibri"/>
                <w:sz w:val="22"/>
                <w:szCs w:val="22"/>
              </w:rPr>
              <w:t>ener</w:t>
            </w:r>
            <w:r w:rsidR="00E018C5" w:rsidRPr="00E018C5">
              <w:rPr>
                <w:rFonts w:ascii="Calibri" w:hAnsi="Calibri"/>
                <w:sz w:val="22"/>
                <w:szCs w:val="22"/>
              </w:rPr>
              <w:t>getických daní v ČR</w:t>
            </w:r>
            <w:r w:rsidRPr="00E018C5">
              <w:rPr>
                <w:rFonts w:ascii="Calibri" w:hAnsi="Calibri"/>
                <w:sz w:val="22"/>
                <w:szCs w:val="22"/>
              </w:rPr>
              <w:t>.</w:t>
            </w:r>
          </w:p>
          <w:p w14:paraId="00F86F4C" w14:textId="527B6406" w:rsidR="00710EE2" w:rsidRPr="00E018C5" w:rsidRDefault="00710EE2" w:rsidP="00710EE2">
            <w:pPr>
              <w:pStyle w:val="Odstavecseseznamem"/>
              <w:numPr>
                <w:ilvl w:val="0"/>
                <w:numId w:val="4"/>
              </w:numPr>
              <w:overflowPunct w:val="0"/>
              <w:autoSpaceDE w:val="0"/>
              <w:autoSpaceDN w:val="0"/>
              <w:adjustRightInd w:val="0"/>
              <w:spacing w:before="120" w:after="120"/>
              <w:ind w:left="284" w:hanging="284"/>
              <w:jc w:val="both"/>
              <w:textAlignment w:val="baseline"/>
              <w:rPr>
                <w:rFonts w:ascii="Calibri" w:hAnsi="Calibri"/>
                <w:sz w:val="22"/>
                <w:szCs w:val="22"/>
              </w:rPr>
            </w:pPr>
            <w:r>
              <w:rPr>
                <w:rFonts w:ascii="Calibri" w:hAnsi="Calibri"/>
                <w:sz w:val="22"/>
                <w:szCs w:val="22"/>
              </w:rPr>
              <w:t>Dne 20. prosince 2017 byla vydána vyhláška č. 452/2017, kterou se mění vyhláška č. 415/2012 Sb., o přípustné úrovni znečišťování a jejím zjišťování a o provedení některých dalších ustanovení zákona o ochraně ovzduší, ve znění pozdějších předpisů. Tato novela zpřísnila požadavky na kvalitu tříděného uhlí uváděného na trh pro zdroje do celkového jmenovitého tepelného příkonu 300 kW, a to stanovením požadavku na maximální obsah podsítné složky a maximální obsah prachu (frakce pod 10 mm) v podsítné složce.</w:t>
            </w:r>
          </w:p>
        </w:tc>
      </w:tr>
    </w:tbl>
    <w:p w14:paraId="056A7217" w14:textId="77777777" w:rsidR="00D1501A" w:rsidRDefault="00D1501A">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D1501A" w:rsidRPr="006B443D" w14:paraId="579963AC" w14:textId="77777777" w:rsidTr="00710291">
        <w:tc>
          <w:tcPr>
            <w:tcW w:w="833" w:type="pct"/>
            <w:shd w:val="clear" w:color="auto" w:fill="DBE5F1" w:themeFill="accent1" w:themeFillTint="33"/>
            <w:vAlign w:val="center"/>
          </w:tcPr>
          <w:p w14:paraId="5FA79021" w14:textId="77777777" w:rsidR="00D1501A" w:rsidRPr="006B443D" w:rsidRDefault="00D1501A" w:rsidP="002C5FC9">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3A512F89" w14:textId="77777777" w:rsidR="00D1501A" w:rsidRPr="006B443D" w:rsidRDefault="00201BF8" w:rsidP="002C5FC9">
            <w:pPr>
              <w:keepNext/>
              <w:spacing w:before="120" w:after="120"/>
              <w:jc w:val="both"/>
              <w:rPr>
                <w:rFonts w:asciiTheme="minorHAnsi" w:hAnsiTheme="minorHAnsi"/>
                <w:b/>
                <w:sz w:val="22"/>
                <w:szCs w:val="22"/>
              </w:rPr>
            </w:pPr>
            <w:r w:rsidRPr="00201BF8">
              <w:rPr>
                <w:rFonts w:asciiTheme="minorHAnsi" w:hAnsiTheme="minorHAnsi"/>
                <w:b/>
                <w:sz w:val="22"/>
                <w:szCs w:val="22"/>
              </w:rPr>
              <w:t>Analýza energetické legislativy</w:t>
            </w:r>
          </w:p>
        </w:tc>
      </w:tr>
      <w:tr w:rsidR="00D1501A" w:rsidRPr="006B443D" w14:paraId="727B94D2" w14:textId="77777777" w:rsidTr="00710291">
        <w:tc>
          <w:tcPr>
            <w:tcW w:w="833" w:type="pct"/>
            <w:vAlign w:val="center"/>
          </w:tcPr>
          <w:p w14:paraId="3291B393"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1AA2CC12" w14:textId="77777777" w:rsidR="00D1501A" w:rsidRPr="006B443D" w:rsidRDefault="00201BF8" w:rsidP="00201BF8">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201BF8">
              <w:rPr>
                <w:rFonts w:asciiTheme="minorHAnsi" w:hAnsiTheme="minorHAnsi"/>
                <w:sz w:val="22"/>
                <w:szCs w:val="22"/>
              </w:rPr>
              <w:t>Provést komplexní analýzu platné legislativy (zákony, nařízení vlády, prováděcí vyhlášky) týkající se energetiky a navrhnout opatření ke zjednodušení administrativních procesů a zvýšení efektivnosti státní správy, odstranění nesystémových opatření a snížení administrativní zátěže podnikatelů, zaměstnavatelů a fyzických osob.</w:t>
            </w:r>
          </w:p>
        </w:tc>
      </w:tr>
      <w:tr w:rsidR="00D1501A" w:rsidRPr="006B443D" w14:paraId="254B6872" w14:textId="77777777" w:rsidTr="00710291">
        <w:tc>
          <w:tcPr>
            <w:tcW w:w="833" w:type="pct"/>
            <w:vAlign w:val="center"/>
          </w:tcPr>
          <w:p w14:paraId="0A0924AB"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1BD068A6" w14:textId="77777777" w:rsidR="00D1501A" w:rsidRPr="006B443D" w:rsidRDefault="00201BF8" w:rsidP="00710291">
            <w:pPr>
              <w:spacing w:before="120" w:after="120"/>
              <w:jc w:val="both"/>
              <w:rPr>
                <w:rFonts w:asciiTheme="minorHAnsi" w:hAnsiTheme="minorHAnsi"/>
                <w:sz w:val="22"/>
                <w:szCs w:val="22"/>
              </w:rPr>
            </w:pPr>
            <w:r w:rsidRPr="00201BF8">
              <w:rPr>
                <w:rFonts w:asciiTheme="minorHAnsi" w:hAnsiTheme="minorHAnsi"/>
                <w:sz w:val="22"/>
                <w:szCs w:val="22"/>
              </w:rPr>
              <w:t>MPO, v součinnosti s ERÚ</w:t>
            </w:r>
          </w:p>
        </w:tc>
      </w:tr>
      <w:tr w:rsidR="00D1501A" w:rsidRPr="006B443D" w14:paraId="239338C7" w14:textId="77777777" w:rsidTr="00710291">
        <w:tc>
          <w:tcPr>
            <w:tcW w:w="833" w:type="pct"/>
            <w:vAlign w:val="center"/>
          </w:tcPr>
          <w:p w14:paraId="58F2A379"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6F762C6D" w14:textId="77777777" w:rsidR="00D1501A" w:rsidRPr="006B443D" w:rsidRDefault="00201BF8" w:rsidP="00710291">
            <w:pPr>
              <w:spacing w:before="120" w:after="120"/>
              <w:jc w:val="both"/>
              <w:rPr>
                <w:rFonts w:asciiTheme="minorHAnsi" w:hAnsiTheme="minorHAnsi"/>
                <w:sz w:val="22"/>
                <w:szCs w:val="22"/>
              </w:rPr>
            </w:pPr>
            <w:r>
              <w:rPr>
                <w:rFonts w:asciiTheme="minorHAnsi" w:hAnsiTheme="minorHAnsi"/>
                <w:sz w:val="22"/>
                <w:szCs w:val="22"/>
              </w:rPr>
              <w:t>31. 12. 2015</w:t>
            </w:r>
          </w:p>
        </w:tc>
      </w:tr>
      <w:tr w:rsidR="00D1501A" w:rsidRPr="006B443D" w14:paraId="2716E505" w14:textId="77777777" w:rsidTr="00323AE1">
        <w:trPr>
          <w:cantSplit/>
        </w:trPr>
        <w:tc>
          <w:tcPr>
            <w:tcW w:w="833" w:type="pct"/>
            <w:vAlign w:val="center"/>
          </w:tcPr>
          <w:p w14:paraId="61F5E26A"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lastRenderedPageBreak/>
              <w:t>Popis plnění</w:t>
            </w:r>
          </w:p>
        </w:tc>
        <w:tc>
          <w:tcPr>
            <w:tcW w:w="4167" w:type="pct"/>
            <w:vAlign w:val="center"/>
          </w:tcPr>
          <w:p w14:paraId="30FBD839" w14:textId="77777777" w:rsidR="00201BF8" w:rsidRPr="00201BF8" w:rsidRDefault="00201BF8" w:rsidP="00201BF8">
            <w:pPr>
              <w:overflowPunct w:val="0"/>
              <w:autoSpaceDE w:val="0"/>
              <w:autoSpaceDN w:val="0"/>
              <w:adjustRightInd w:val="0"/>
              <w:spacing w:before="120" w:after="120"/>
              <w:jc w:val="both"/>
              <w:textAlignment w:val="baseline"/>
              <w:rPr>
                <w:rFonts w:asciiTheme="minorHAnsi" w:hAnsiTheme="minorHAnsi"/>
                <w:b/>
                <w:sz w:val="22"/>
                <w:szCs w:val="22"/>
              </w:rPr>
            </w:pPr>
            <w:r w:rsidRPr="00201BF8">
              <w:rPr>
                <w:rFonts w:asciiTheme="minorHAnsi" w:hAnsiTheme="minorHAnsi"/>
                <w:b/>
                <w:sz w:val="22"/>
                <w:szCs w:val="22"/>
              </w:rPr>
              <w:t>Splněno</w:t>
            </w:r>
          </w:p>
          <w:p w14:paraId="48A2C2C5" w14:textId="35E1428D" w:rsidR="00D1501A" w:rsidRPr="00D1501A" w:rsidRDefault="00201BF8" w:rsidP="007D28DC">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201BF8">
              <w:rPr>
                <w:rFonts w:asciiTheme="minorHAnsi" w:hAnsiTheme="minorHAnsi"/>
                <w:sz w:val="22"/>
                <w:szCs w:val="22"/>
              </w:rPr>
              <w:t>Komplexní analýza legislativy týkající se energetiky byla provedena při přípravě zákona č. 131/2015 Sb., kterým se mění zákon č. 458/2000 Sb., o podmínkách podnikání a o výkonu státní správy v energetických odvětvích, a při přípravě zákona č. 103/2015 Sb., kterým se mění zákon č. 406/2015 Sb., o hospodaření energií, a je prováděna průběžně při přípravě každého návrhu primární a</w:t>
            </w:r>
            <w:r w:rsidR="007D28DC">
              <w:rPr>
                <w:rFonts w:asciiTheme="minorHAnsi" w:hAnsiTheme="minorHAnsi"/>
                <w:sz w:val="22"/>
                <w:szCs w:val="22"/>
              </w:rPr>
              <w:t> </w:t>
            </w:r>
            <w:r w:rsidRPr="00201BF8">
              <w:rPr>
                <w:rFonts w:asciiTheme="minorHAnsi" w:hAnsiTheme="minorHAnsi"/>
                <w:sz w:val="22"/>
                <w:szCs w:val="22"/>
              </w:rPr>
              <w:t>sekundární legislativy, mimo jiné i v rámci pracovních skupin pro přípravu těchto návrhů nebo v rámci vyhodnocování dopadů regulace.</w:t>
            </w:r>
          </w:p>
        </w:tc>
      </w:tr>
    </w:tbl>
    <w:p w14:paraId="345CC869" w14:textId="77777777" w:rsidR="00D1501A" w:rsidRDefault="00D1501A">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D1501A" w:rsidRPr="006B443D" w14:paraId="5FD70ACC" w14:textId="77777777" w:rsidTr="00710291">
        <w:tc>
          <w:tcPr>
            <w:tcW w:w="833" w:type="pct"/>
            <w:shd w:val="clear" w:color="auto" w:fill="DBE5F1" w:themeFill="accent1" w:themeFillTint="33"/>
            <w:vAlign w:val="center"/>
          </w:tcPr>
          <w:p w14:paraId="66812495" w14:textId="77777777" w:rsidR="00D1501A" w:rsidRPr="006B443D" w:rsidRDefault="00D1501A" w:rsidP="002C5FC9">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03654A10" w14:textId="77777777" w:rsidR="00D1501A" w:rsidRPr="006B443D" w:rsidRDefault="00CC7834" w:rsidP="002C5FC9">
            <w:pPr>
              <w:keepNext/>
              <w:spacing w:before="120" w:after="120"/>
              <w:jc w:val="both"/>
              <w:rPr>
                <w:rFonts w:asciiTheme="minorHAnsi" w:hAnsiTheme="minorHAnsi"/>
                <w:b/>
                <w:sz w:val="22"/>
                <w:szCs w:val="22"/>
              </w:rPr>
            </w:pPr>
            <w:r w:rsidRPr="00CC7834">
              <w:rPr>
                <w:rFonts w:asciiTheme="minorHAnsi" w:hAnsiTheme="minorHAnsi"/>
                <w:b/>
                <w:sz w:val="22"/>
                <w:szCs w:val="22"/>
              </w:rPr>
              <w:t>Nové investice do energetické infrastruktury</w:t>
            </w:r>
          </w:p>
        </w:tc>
      </w:tr>
      <w:tr w:rsidR="00D1501A" w:rsidRPr="006B443D" w14:paraId="6A64CE04" w14:textId="77777777" w:rsidTr="00710291">
        <w:tc>
          <w:tcPr>
            <w:tcW w:w="833" w:type="pct"/>
            <w:vAlign w:val="center"/>
          </w:tcPr>
          <w:p w14:paraId="57C61CC8"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664B1B57" w14:textId="77777777" w:rsidR="00D1501A" w:rsidRPr="006B443D" w:rsidRDefault="00CC7834" w:rsidP="00CC7834">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CC7834">
              <w:rPr>
                <w:rFonts w:asciiTheme="minorHAnsi" w:hAnsiTheme="minorHAnsi"/>
                <w:sz w:val="22"/>
                <w:szCs w:val="22"/>
              </w:rPr>
              <w:t>Vytvoření vhodného legislativního prostředí pro nové investice do rozvoje přenosové, přepravní a distribučních soustav, modernizace soustav zásobování tepelnou energií, zásobníků plynu, ropy a ropných produktů se snahou o využití financování ze zdrojů EU.</w:t>
            </w:r>
          </w:p>
        </w:tc>
      </w:tr>
      <w:tr w:rsidR="00D1501A" w:rsidRPr="006B443D" w14:paraId="3F371272" w14:textId="77777777" w:rsidTr="00710291">
        <w:tc>
          <w:tcPr>
            <w:tcW w:w="833" w:type="pct"/>
            <w:vAlign w:val="center"/>
          </w:tcPr>
          <w:p w14:paraId="3840617F"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18E90A26" w14:textId="77777777" w:rsidR="00D1501A" w:rsidRPr="006B443D" w:rsidRDefault="00CC7834" w:rsidP="00710291">
            <w:pPr>
              <w:spacing w:before="120" w:after="120"/>
              <w:jc w:val="both"/>
              <w:rPr>
                <w:rFonts w:asciiTheme="minorHAnsi" w:hAnsiTheme="minorHAnsi"/>
                <w:sz w:val="22"/>
                <w:szCs w:val="22"/>
              </w:rPr>
            </w:pPr>
            <w:r w:rsidRPr="00CC7834">
              <w:rPr>
                <w:rFonts w:asciiTheme="minorHAnsi" w:hAnsiTheme="minorHAnsi"/>
                <w:sz w:val="22"/>
                <w:szCs w:val="22"/>
              </w:rPr>
              <w:t>MPO, ERÚ, MMR, MF, SSHR</w:t>
            </w:r>
          </w:p>
        </w:tc>
      </w:tr>
      <w:tr w:rsidR="00D1501A" w:rsidRPr="006B443D" w14:paraId="5BB34E38" w14:textId="77777777" w:rsidTr="00710291">
        <w:tc>
          <w:tcPr>
            <w:tcW w:w="833" w:type="pct"/>
            <w:vAlign w:val="center"/>
          </w:tcPr>
          <w:p w14:paraId="3ECB738F"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1E1D0E1E" w14:textId="77777777" w:rsidR="00D1501A" w:rsidRPr="006B443D" w:rsidRDefault="00CC7834" w:rsidP="00710291">
            <w:pPr>
              <w:spacing w:before="120" w:after="120"/>
              <w:jc w:val="both"/>
              <w:rPr>
                <w:rFonts w:asciiTheme="minorHAnsi" w:hAnsiTheme="minorHAnsi"/>
                <w:sz w:val="22"/>
                <w:szCs w:val="22"/>
              </w:rPr>
            </w:pPr>
            <w:r>
              <w:rPr>
                <w:rFonts w:asciiTheme="minorHAnsi" w:hAnsiTheme="minorHAnsi"/>
                <w:sz w:val="22"/>
                <w:szCs w:val="22"/>
              </w:rPr>
              <w:t>průběžně</w:t>
            </w:r>
          </w:p>
        </w:tc>
      </w:tr>
      <w:tr w:rsidR="00D1501A" w:rsidRPr="006B443D" w14:paraId="148A4D08" w14:textId="77777777" w:rsidTr="00710291">
        <w:tc>
          <w:tcPr>
            <w:tcW w:w="833" w:type="pct"/>
            <w:vAlign w:val="center"/>
          </w:tcPr>
          <w:p w14:paraId="08CC9277"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2B1B83B9" w14:textId="77777777" w:rsidR="00CC7834" w:rsidRPr="00CC7834" w:rsidRDefault="00CC7834" w:rsidP="00CC7834">
            <w:pPr>
              <w:overflowPunct w:val="0"/>
              <w:autoSpaceDE w:val="0"/>
              <w:autoSpaceDN w:val="0"/>
              <w:adjustRightInd w:val="0"/>
              <w:spacing w:before="120" w:after="120"/>
              <w:jc w:val="both"/>
              <w:textAlignment w:val="baseline"/>
              <w:rPr>
                <w:rFonts w:asciiTheme="minorHAnsi" w:hAnsiTheme="minorHAnsi"/>
                <w:b/>
                <w:sz w:val="22"/>
                <w:szCs w:val="22"/>
              </w:rPr>
            </w:pPr>
            <w:r w:rsidRPr="00CC7834">
              <w:rPr>
                <w:rFonts w:asciiTheme="minorHAnsi" w:hAnsiTheme="minorHAnsi"/>
                <w:b/>
                <w:sz w:val="22"/>
                <w:szCs w:val="22"/>
              </w:rPr>
              <w:t>Plněno průběžně</w:t>
            </w:r>
          </w:p>
          <w:p w14:paraId="5999154A" w14:textId="4C95E443" w:rsidR="00CC7834" w:rsidRPr="00CC7834" w:rsidRDefault="005A4B4B" w:rsidP="00CC7834">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Dne 5. června 2015 b</w:t>
            </w:r>
            <w:r w:rsidR="00CC7834" w:rsidRPr="00CC7834">
              <w:rPr>
                <w:rFonts w:asciiTheme="minorHAnsi" w:hAnsiTheme="minorHAnsi"/>
                <w:sz w:val="22"/>
                <w:szCs w:val="22"/>
              </w:rPr>
              <w:t>yl vydán zákon č. 131/2015 Sb., kterým se mění zákon č. 458/2000 Sb., o</w:t>
            </w:r>
            <w:r w:rsidR="007D28DC">
              <w:rPr>
                <w:rFonts w:asciiTheme="minorHAnsi" w:hAnsiTheme="minorHAnsi"/>
                <w:sz w:val="22"/>
                <w:szCs w:val="22"/>
              </w:rPr>
              <w:t> </w:t>
            </w:r>
            <w:r w:rsidR="00CC7834" w:rsidRPr="00CC7834">
              <w:rPr>
                <w:rFonts w:asciiTheme="minorHAnsi" w:hAnsiTheme="minorHAnsi"/>
                <w:sz w:val="22"/>
                <w:szCs w:val="22"/>
              </w:rPr>
              <w:t>podmínkách podnikání a o výkonu státní správy v energetických odvětvích. Touto novelou došlo mimo jiné ke zpřesnění podmínek pro vydávání státních autorizací (§ 30a odst. 3 a odst. 4), upravení průběhu konzultačního procesu návrhů opatření nebo postupů ERÚ při výkonu jeho působnosti (§ 17e odst. 4 až odst. 12) a také ke zpřesnění legislativního rámce pro regulaci cen souvisejících služeb v elektroenergetice a plynárenství (§ 19a odst. 1).</w:t>
            </w:r>
          </w:p>
          <w:p w14:paraId="60D2A3DA" w14:textId="0976EF08" w:rsidR="00CC7834" w:rsidRDefault="00CC7834" w:rsidP="00FD26E3">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CC7834">
              <w:rPr>
                <w:rFonts w:asciiTheme="minorHAnsi" w:hAnsiTheme="minorHAnsi"/>
                <w:sz w:val="22"/>
                <w:szCs w:val="22"/>
              </w:rPr>
              <w:t>ERÚ zveřejnil</w:t>
            </w:r>
            <w:r w:rsidR="00FD26E3">
              <w:rPr>
                <w:rFonts w:asciiTheme="minorHAnsi" w:hAnsiTheme="minorHAnsi"/>
                <w:sz w:val="22"/>
                <w:szCs w:val="22"/>
              </w:rPr>
              <w:t>, v souladu s energetickým zákonem, Zásady cenové</w:t>
            </w:r>
            <w:r w:rsidRPr="00CC7834">
              <w:rPr>
                <w:rFonts w:asciiTheme="minorHAnsi" w:hAnsiTheme="minorHAnsi"/>
                <w:sz w:val="22"/>
                <w:szCs w:val="22"/>
              </w:rPr>
              <w:t xml:space="preserve"> regulace pro</w:t>
            </w:r>
            <w:r w:rsidR="00FD26E3">
              <w:rPr>
                <w:rFonts w:asciiTheme="minorHAnsi" w:hAnsiTheme="minorHAnsi"/>
                <w:sz w:val="22"/>
                <w:szCs w:val="22"/>
              </w:rPr>
              <w:t xml:space="preserve"> IV. regulační</w:t>
            </w:r>
            <w:r w:rsidRPr="00CC7834">
              <w:rPr>
                <w:rFonts w:asciiTheme="minorHAnsi" w:hAnsiTheme="minorHAnsi"/>
                <w:sz w:val="22"/>
                <w:szCs w:val="22"/>
              </w:rPr>
              <w:t xml:space="preserve"> období</w:t>
            </w:r>
            <w:r w:rsidR="00FD26E3">
              <w:rPr>
                <w:rFonts w:asciiTheme="minorHAnsi" w:hAnsiTheme="minorHAnsi"/>
                <w:sz w:val="22"/>
                <w:szCs w:val="22"/>
              </w:rPr>
              <w:t xml:space="preserve"> na roky</w:t>
            </w:r>
            <w:r w:rsidRPr="00CC7834">
              <w:rPr>
                <w:rFonts w:asciiTheme="minorHAnsi" w:hAnsiTheme="minorHAnsi"/>
                <w:sz w:val="22"/>
                <w:szCs w:val="22"/>
              </w:rPr>
              <w:t xml:space="preserve"> 2016 až 2018 pro sektory elektroenergetiky</w:t>
            </w:r>
            <w:r w:rsidR="00186AC6">
              <w:rPr>
                <w:rFonts w:asciiTheme="minorHAnsi" w:hAnsiTheme="minorHAnsi"/>
                <w:sz w:val="22"/>
                <w:szCs w:val="22"/>
              </w:rPr>
              <w:t xml:space="preserve"> a </w:t>
            </w:r>
            <w:r w:rsidRPr="00CC7834">
              <w:rPr>
                <w:rFonts w:asciiTheme="minorHAnsi" w:hAnsiTheme="minorHAnsi"/>
                <w:sz w:val="22"/>
                <w:szCs w:val="22"/>
              </w:rPr>
              <w:t>plynárenství</w:t>
            </w:r>
            <w:r w:rsidR="00FD26E3">
              <w:rPr>
                <w:rFonts w:asciiTheme="minorHAnsi" w:hAnsiTheme="minorHAnsi"/>
                <w:sz w:val="22"/>
                <w:szCs w:val="22"/>
              </w:rPr>
              <w:t xml:space="preserve"> a pro činnosti operátora trhu v elektroenergetice a plynárenství, které popisují postupy regulace cen pro IV. regulační období včetně definice principů regulace</w:t>
            </w:r>
            <w:r w:rsidRPr="00CC7834">
              <w:rPr>
                <w:rFonts w:asciiTheme="minorHAnsi" w:hAnsiTheme="minorHAnsi"/>
                <w:sz w:val="22"/>
                <w:szCs w:val="22"/>
              </w:rPr>
              <w:t>.</w:t>
            </w:r>
            <w:r w:rsidR="00FD26E3" w:rsidRPr="00FD26E3">
              <w:rPr>
                <w:rFonts w:asciiTheme="minorHAnsi" w:hAnsiTheme="minorHAnsi"/>
                <w:sz w:val="22"/>
                <w:szCs w:val="22"/>
              </w:rPr>
              <w:t xml:space="preserve"> Při nastavování pravidel přechodného regulačního období se ERÚ řídil požadavkem zejména na zachování odpovídající kvality poskytovaných služeb zákazníkům při efektivně vynakládaných nákladech, udržení úrovně bezpečnosti dodávek, ze které budou profitovat zákazníci. </w:t>
            </w:r>
            <w:r w:rsidR="00D6625B">
              <w:rPr>
                <w:rFonts w:asciiTheme="minorHAnsi" w:hAnsiTheme="minorHAnsi"/>
                <w:sz w:val="22"/>
                <w:szCs w:val="22"/>
              </w:rPr>
              <w:t>Dne 31. srpna 2017 byl zahájen veřejný konzultační proces</w:t>
            </w:r>
            <w:r w:rsidR="00FD26E3" w:rsidRPr="00FD26E3">
              <w:rPr>
                <w:rFonts w:asciiTheme="minorHAnsi" w:hAnsiTheme="minorHAnsi"/>
                <w:sz w:val="22"/>
                <w:szCs w:val="22"/>
              </w:rPr>
              <w:t xml:space="preserve"> k možnosti prodloužení IV. regulačního období o 2 roky, tj. do 31. 12. 2020.</w:t>
            </w:r>
            <w:r w:rsidR="00B84FD7">
              <w:rPr>
                <w:rFonts w:asciiTheme="minorHAnsi" w:hAnsiTheme="minorHAnsi"/>
                <w:sz w:val="22"/>
                <w:szCs w:val="22"/>
              </w:rPr>
              <w:t xml:space="preserve"> </w:t>
            </w:r>
            <w:r w:rsidR="00D6625B">
              <w:rPr>
                <w:rFonts w:asciiTheme="minorHAnsi" w:hAnsiTheme="minorHAnsi"/>
                <w:sz w:val="22"/>
                <w:szCs w:val="22"/>
              </w:rPr>
              <w:t>Současně ERÚ</w:t>
            </w:r>
            <w:r w:rsidR="00B84FD7">
              <w:rPr>
                <w:rFonts w:asciiTheme="minorHAnsi" w:hAnsiTheme="minorHAnsi"/>
                <w:sz w:val="22"/>
                <w:szCs w:val="22"/>
              </w:rPr>
              <w:t xml:space="preserve"> </w:t>
            </w:r>
            <w:r w:rsidR="00B84FD7" w:rsidRPr="00B84FD7">
              <w:rPr>
                <w:rFonts w:asciiTheme="minorHAnsi" w:hAnsiTheme="minorHAnsi"/>
                <w:sz w:val="22"/>
                <w:szCs w:val="22"/>
              </w:rPr>
              <w:t>zveřejnil</w:t>
            </w:r>
            <w:r w:rsidR="00B84FD7">
              <w:rPr>
                <w:rFonts w:asciiTheme="minorHAnsi" w:hAnsiTheme="minorHAnsi"/>
                <w:sz w:val="22"/>
                <w:szCs w:val="22"/>
              </w:rPr>
              <w:t xml:space="preserve"> také</w:t>
            </w:r>
            <w:r w:rsidR="00B84FD7" w:rsidRPr="00B84FD7">
              <w:rPr>
                <w:rFonts w:asciiTheme="minorHAnsi" w:hAnsiTheme="minorHAnsi"/>
                <w:sz w:val="22"/>
                <w:szCs w:val="22"/>
              </w:rPr>
              <w:t xml:space="preserve"> </w:t>
            </w:r>
            <w:r w:rsidR="00B84FD7">
              <w:rPr>
                <w:rFonts w:asciiTheme="minorHAnsi" w:hAnsiTheme="minorHAnsi"/>
                <w:sz w:val="22"/>
                <w:szCs w:val="22"/>
              </w:rPr>
              <w:t>n</w:t>
            </w:r>
            <w:r w:rsidR="00B84FD7" w:rsidRPr="00B84FD7">
              <w:rPr>
                <w:rFonts w:asciiTheme="minorHAnsi" w:hAnsiTheme="minorHAnsi"/>
                <w:sz w:val="22"/>
                <w:szCs w:val="22"/>
              </w:rPr>
              <w:t>ávrh tezí cenové regulace pro V. regulační období pro odvětví elektroenergetiky a</w:t>
            </w:r>
            <w:r w:rsidR="00B84FD7">
              <w:rPr>
                <w:rFonts w:asciiTheme="minorHAnsi" w:hAnsiTheme="minorHAnsi"/>
                <w:sz w:val="22"/>
                <w:szCs w:val="22"/>
              </w:rPr>
              <w:t> </w:t>
            </w:r>
            <w:r w:rsidR="00B84FD7" w:rsidRPr="00B84FD7">
              <w:rPr>
                <w:rFonts w:asciiTheme="minorHAnsi" w:hAnsiTheme="minorHAnsi"/>
                <w:sz w:val="22"/>
                <w:szCs w:val="22"/>
              </w:rPr>
              <w:t>zahá</w:t>
            </w:r>
            <w:r w:rsidR="00B84FD7">
              <w:rPr>
                <w:rFonts w:asciiTheme="minorHAnsi" w:hAnsiTheme="minorHAnsi"/>
                <w:sz w:val="22"/>
                <w:szCs w:val="22"/>
              </w:rPr>
              <w:t>jil konzultační proces s termínem</w:t>
            </w:r>
            <w:r w:rsidR="00B84FD7" w:rsidRPr="00B84FD7">
              <w:rPr>
                <w:rFonts w:asciiTheme="minorHAnsi" w:hAnsiTheme="minorHAnsi"/>
                <w:sz w:val="22"/>
                <w:szCs w:val="22"/>
              </w:rPr>
              <w:t xml:space="preserve"> pro podání připomínek </w:t>
            </w:r>
            <w:r w:rsidR="00B84FD7">
              <w:rPr>
                <w:rFonts w:asciiTheme="minorHAnsi" w:hAnsiTheme="minorHAnsi"/>
                <w:sz w:val="22"/>
                <w:szCs w:val="22"/>
              </w:rPr>
              <w:t xml:space="preserve">do </w:t>
            </w:r>
            <w:r w:rsidR="00B84FD7" w:rsidRPr="00B84FD7">
              <w:rPr>
                <w:rFonts w:asciiTheme="minorHAnsi" w:hAnsiTheme="minorHAnsi"/>
                <w:sz w:val="22"/>
                <w:szCs w:val="22"/>
              </w:rPr>
              <w:t>31.</w:t>
            </w:r>
            <w:r w:rsidR="00B84FD7">
              <w:rPr>
                <w:rFonts w:asciiTheme="minorHAnsi" w:hAnsiTheme="minorHAnsi"/>
                <w:sz w:val="22"/>
                <w:szCs w:val="22"/>
              </w:rPr>
              <w:t xml:space="preserve"> prosince 2017</w:t>
            </w:r>
            <w:r w:rsidR="00BF27D1">
              <w:rPr>
                <w:rFonts w:asciiTheme="minorHAnsi" w:hAnsiTheme="minorHAnsi"/>
                <w:sz w:val="22"/>
                <w:szCs w:val="22"/>
              </w:rPr>
              <w:t>. Na základě výsledků veřejné konzultace a rozhodnutí Rady ERÚ došlo k prodloužení platnosti pravidel regulace pro IV. regulační období o dva roky, tedy do roku 2020</w:t>
            </w:r>
            <w:r w:rsidR="00B84FD7">
              <w:rPr>
                <w:rFonts w:asciiTheme="minorHAnsi" w:hAnsiTheme="minorHAnsi"/>
                <w:sz w:val="22"/>
                <w:szCs w:val="22"/>
              </w:rPr>
              <w:t>, přičemž</w:t>
            </w:r>
            <w:r w:rsidR="00BF27D1">
              <w:rPr>
                <w:rFonts w:asciiTheme="minorHAnsi" w:hAnsiTheme="minorHAnsi"/>
                <w:sz w:val="22"/>
                <w:szCs w:val="22"/>
              </w:rPr>
              <w:t xml:space="preserve"> veřejná konzultace k nastavení pravidel V. regulačního období byla z tohoto důvodu zastavena a bude znovu zahájena v srpnu 2019.</w:t>
            </w:r>
            <w:r w:rsidR="00B84FD7" w:rsidRPr="00B84FD7">
              <w:rPr>
                <w:rFonts w:asciiTheme="minorHAnsi" w:hAnsiTheme="minorHAnsi"/>
                <w:sz w:val="22"/>
                <w:szCs w:val="22"/>
              </w:rPr>
              <w:t xml:space="preserve"> </w:t>
            </w:r>
            <w:r w:rsidR="00BF27D1">
              <w:rPr>
                <w:rFonts w:asciiTheme="minorHAnsi" w:hAnsiTheme="minorHAnsi"/>
                <w:sz w:val="22"/>
                <w:szCs w:val="22"/>
              </w:rPr>
              <w:t>Z</w:t>
            </w:r>
            <w:r w:rsidR="00B84FD7" w:rsidRPr="00B84FD7">
              <w:rPr>
                <w:rFonts w:asciiTheme="minorHAnsi" w:hAnsiTheme="minorHAnsi"/>
                <w:sz w:val="22"/>
                <w:szCs w:val="22"/>
              </w:rPr>
              <w:t xml:space="preserve">ahájení V. regulačního období </w:t>
            </w:r>
            <w:r w:rsidR="00BF27D1">
              <w:rPr>
                <w:rFonts w:asciiTheme="minorHAnsi" w:hAnsiTheme="minorHAnsi"/>
                <w:sz w:val="22"/>
                <w:szCs w:val="22"/>
              </w:rPr>
              <w:t>se předpokládá</w:t>
            </w:r>
            <w:r w:rsidR="00B84FD7" w:rsidRPr="00B84FD7">
              <w:rPr>
                <w:rFonts w:asciiTheme="minorHAnsi" w:hAnsiTheme="minorHAnsi"/>
                <w:sz w:val="22"/>
                <w:szCs w:val="22"/>
              </w:rPr>
              <w:t xml:space="preserve"> 1.</w:t>
            </w:r>
            <w:r w:rsidR="00B84FD7">
              <w:rPr>
                <w:rFonts w:asciiTheme="minorHAnsi" w:hAnsiTheme="minorHAnsi"/>
                <w:sz w:val="22"/>
                <w:szCs w:val="22"/>
              </w:rPr>
              <w:t xml:space="preserve"> ledna </w:t>
            </w:r>
            <w:r w:rsidR="00B84FD7" w:rsidRPr="00B84FD7">
              <w:rPr>
                <w:rFonts w:asciiTheme="minorHAnsi" w:hAnsiTheme="minorHAnsi"/>
                <w:sz w:val="22"/>
                <w:szCs w:val="22"/>
              </w:rPr>
              <w:t>2021.</w:t>
            </w:r>
          </w:p>
          <w:p w14:paraId="7D223DA4" w14:textId="260E0F0A" w:rsidR="00EE24A5" w:rsidRPr="00CC7834" w:rsidRDefault="00EE24A5" w:rsidP="00FA0313">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V rámci principů regulace pro období let 2016 až 2018 vydaných ERÚ</w:t>
            </w:r>
            <w:r w:rsidR="00BF27D1">
              <w:rPr>
                <w:rFonts w:asciiTheme="minorHAnsi" w:hAnsiTheme="minorHAnsi"/>
                <w:sz w:val="22"/>
                <w:szCs w:val="22"/>
              </w:rPr>
              <w:t xml:space="preserve"> a následně prodloužených do konce roku 2020</w:t>
            </w:r>
            <w:r w:rsidR="00D6625B">
              <w:rPr>
                <w:rFonts w:asciiTheme="minorHAnsi" w:hAnsiTheme="minorHAnsi"/>
                <w:sz w:val="22"/>
                <w:szCs w:val="22"/>
              </w:rPr>
              <w:t xml:space="preserve"> bylo</w:t>
            </w:r>
            <w:r>
              <w:rPr>
                <w:rFonts w:asciiTheme="minorHAnsi" w:hAnsiTheme="minorHAnsi"/>
                <w:sz w:val="22"/>
                <w:szCs w:val="22"/>
              </w:rPr>
              <w:t xml:space="preserve"> dostatečně motivačně nastaveno prostředí </w:t>
            </w:r>
            <w:r w:rsidRPr="00B842A1">
              <w:rPr>
                <w:rFonts w:asciiTheme="minorHAnsi" w:hAnsiTheme="minorHAnsi"/>
                <w:sz w:val="22"/>
                <w:szCs w:val="22"/>
              </w:rPr>
              <w:t>pro nové</w:t>
            </w:r>
            <w:r>
              <w:rPr>
                <w:rFonts w:asciiTheme="minorHAnsi" w:hAnsiTheme="minorHAnsi"/>
                <w:sz w:val="22"/>
                <w:szCs w:val="22"/>
              </w:rPr>
              <w:t xml:space="preserve"> investice do rozvoje přenosové soustavy</w:t>
            </w:r>
            <w:r w:rsidRPr="00B842A1">
              <w:rPr>
                <w:rFonts w:asciiTheme="minorHAnsi" w:hAnsiTheme="minorHAnsi"/>
                <w:sz w:val="22"/>
                <w:szCs w:val="22"/>
              </w:rPr>
              <w:t xml:space="preserve"> a distribučních soustav</w:t>
            </w:r>
            <w:r w:rsidR="001C7086">
              <w:rPr>
                <w:rFonts w:asciiTheme="minorHAnsi" w:hAnsiTheme="minorHAnsi"/>
                <w:sz w:val="22"/>
                <w:szCs w:val="22"/>
              </w:rPr>
              <w:t>. Realizac</w:t>
            </w:r>
            <w:r w:rsidR="00BF27D1">
              <w:rPr>
                <w:rFonts w:asciiTheme="minorHAnsi" w:hAnsiTheme="minorHAnsi"/>
                <w:sz w:val="22"/>
                <w:szCs w:val="22"/>
              </w:rPr>
              <w:t>i</w:t>
            </w:r>
            <w:r w:rsidR="001C7086">
              <w:rPr>
                <w:rFonts w:asciiTheme="minorHAnsi" w:hAnsiTheme="minorHAnsi"/>
                <w:sz w:val="22"/>
                <w:szCs w:val="22"/>
              </w:rPr>
              <w:t xml:space="preserve"> investic</w:t>
            </w:r>
            <w:r w:rsidR="001C7086" w:rsidRPr="00B842A1">
              <w:rPr>
                <w:rFonts w:asciiTheme="minorHAnsi" w:hAnsiTheme="minorHAnsi"/>
                <w:sz w:val="22"/>
                <w:szCs w:val="22"/>
              </w:rPr>
              <w:t xml:space="preserve"> s</w:t>
            </w:r>
            <w:r w:rsidR="001C7086">
              <w:rPr>
                <w:rFonts w:asciiTheme="minorHAnsi" w:hAnsiTheme="minorHAnsi"/>
                <w:sz w:val="22"/>
                <w:szCs w:val="22"/>
              </w:rPr>
              <w:t xml:space="preserve"> </w:t>
            </w:r>
            <w:r w:rsidR="001C7086" w:rsidRPr="00B842A1">
              <w:rPr>
                <w:rFonts w:asciiTheme="minorHAnsi" w:hAnsiTheme="minorHAnsi"/>
                <w:sz w:val="22"/>
                <w:szCs w:val="22"/>
              </w:rPr>
              <w:t>využití</w:t>
            </w:r>
            <w:r w:rsidR="001C7086">
              <w:rPr>
                <w:rFonts w:asciiTheme="minorHAnsi" w:hAnsiTheme="minorHAnsi"/>
                <w:sz w:val="22"/>
                <w:szCs w:val="22"/>
              </w:rPr>
              <w:t>m</w:t>
            </w:r>
            <w:r w:rsidR="001C7086" w:rsidRPr="00B842A1">
              <w:rPr>
                <w:rFonts w:asciiTheme="minorHAnsi" w:hAnsiTheme="minorHAnsi"/>
                <w:sz w:val="22"/>
                <w:szCs w:val="22"/>
              </w:rPr>
              <w:t xml:space="preserve"> financování ze zdrojů EU</w:t>
            </w:r>
            <w:r w:rsidR="00F26A3A">
              <w:rPr>
                <w:rFonts w:asciiTheme="minorHAnsi" w:hAnsiTheme="minorHAnsi"/>
                <w:sz w:val="22"/>
                <w:szCs w:val="22"/>
              </w:rPr>
              <w:t xml:space="preserve"> odráží</w:t>
            </w:r>
            <w:r w:rsidR="001C7086">
              <w:rPr>
                <w:rFonts w:asciiTheme="minorHAnsi" w:hAnsiTheme="minorHAnsi"/>
                <w:sz w:val="22"/>
                <w:szCs w:val="22"/>
              </w:rPr>
              <w:t xml:space="preserve"> i nastavení regulatorních pravidel pro IV. regulační období</w:t>
            </w:r>
            <w:r w:rsidR="00F26A3A">
              <w:rPr>
                <w:rFonts w:asciiTheme="minorHAnsi" w:hAnsiTheme="minorHAnsi"/>
                <w:sz w:val="22"/>
                <w:szCs w:val="22"/>
              </w:rPr>
              <w:t xml:space="preserve">, přičemž oproti platné legislativě </w:t>
            </w:r>
            <w:r w:rsidR="00F26A3A">
              <w:rPr>
                <w:rFonts w:asciiTheme="minorHAnsi" w:hAnsiTheme="minorHAnsi"/>
                <w:sz w:val="22"/>
                <w:szCs w:val="22"/>
              </w:rPr>
              <w:lastRenderedPageBreak/>
              <w:t>ČR lze při využití prostředků z dotací zohlednit odpisy v rámci regulovaných cen za sektory elektroenergetika a plynárenství</w:t>
            </w:r>
            <w:r w:rsidR="001C7086">
              <w:rPr>
                <w:rFonts w:asciiTheme="minorHAnsi" w:hAnsiTheme="minorHAnsi"/>
                <w:sz w:val="22"/>
                <w:szCs w:val="22"/>
              </w:rPr>
              <w:t>.</w:t>
            </w:r>
            <w:r w:rsidR="00F26A3A">
              <w:rPr>
                <w:rFonts w:asciiTheme="minorHAnsi" w:hAnsiTheme="minorHAnsi"/>
                <w:sz w:val="22"/>
                <w:szCs w:val="22"/>
              </w:rPr>
              <w:t xml:space="preserve"> Tento přístup však podléhá konečnému posouzení ze strany EU, zda nejde o dvojí podporu. Regulovaná platba na podporu </w:t>
            </w:r>
            <w:r w:rsidR="002B47E3">
              <w:rPr>
                <w:rFonts w:asciiTheme="minorHAnsi" w:hAnsiTheme="minorHAnsi"/>
                <w:sz w:val="22"/>
                <w:szCs w:val="22"/>
              </w:rPr>
              <w:t xml:space="preserve">podporovaných zdrojů </w:t>
            </w:r>
            <w:r w:rsidR="00F26A3A">
              <w:rPr>
                <w:rFonts w:asciiTheme="minorHAnsi" w:hAnsiTheme="minorHAnsi"/>
                <w:sz w:val="22"/>
                <w:szCs w:val="22"/>
              </w:rPr>
              <w:t>je řešena v souladu se zákonem o</w:t>
            </w:r>
            <w:r w:rsidR="00E723F1">
              <w:rPr>
                <w:rFonts w:asciiTheme="minorHAnsi" w:hAnsiTheme="minorHAnsi"/>
                <w:sz w:val="22"/>
                <w:szCs w:val="22"/>
              </w:rPr>
              <w:t> </w:t>
            </w:r>
            <w:r w:rsidR="002B47E3">
              <w:rPr>
                <w:rFonts w:asciiTheme="minorHAnsi" w:hAnsiTheme="minorHAnsi"/>
                <w:sz w:val="22"/>
                <w:szCs w:val="22"/>
              </w:rPr>
              <w:t>podporovaných zdrojích energie</w:t>
            </w:r>
            <w:r w:rsidR="00F26A3A">
              <w:rPr>
                <w:rFonts w:asciiTheme="minorHAnsi" w:hAnsiTheme="minorHAnsi"/>
                <w:sz w:val="22"/>
                <w:szCs w:val="22"/>
              </w:rPr>
              <w:t>.</w:t>
            </w:r>
          </w:p>
          <w:p w14:paraId="0BE4D896" w14:textId="12ECE491" w:rsidR="00CC7834" w:rsidRDefault="00CC7834" w:rsidP="00CC7834">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CC7834">
              <w:rPr>
                <w:rFonts w:asciiTheme="minorHAnsi" w:hAnsiTheme="minorHAnsi"/>
                <w:sz w:val="22"/>
                <w:szCs w:val="22"/>
              </w:rPr>
              <w:t>SSHR připrav</w:t>
            </w:r>
            <w:r w:rsidR="006E6BD7">
              <w:rPr>
                <w:rFonts w:asciiTheme="minorHAnsi" w:hAnsiTheme="minorHAnsi"/>
                <w:sz w:val="22"/>
                <w:szCs w:val="22"/>
              </w:rPr>
              <w:t>ila</w:t>
            </w:r>
            <w:r w:rsidRPr="00CC7834">
              <w:rPr>
                <w:rFonts w:asciiTheme="minorHAnsi" w:hAnsiTheme="minorHAnsi"/>
                <w:sz w:val="22"/>
                <w:szCs w:val="22"/>
              </w:rPr>
              <w:t xml:space="preserve"> návrh novely zákona č. 97/1993 Sb., o působnosti Správy státních hmotných rezerv</w:t>
            </w:r>
            <w:r w:rsidR="006E6BD7">
              <w:rPr>
                <w:rFonts w:asciiTheme="minorHAnsi" w:hAnsiTheme="minorHAnsi"/>
                <w:sz w:val="22"/>
                <w:szCs w:val="22"/>
              </w:rPr>
              <w:t>, ve znění p</w:t>
            </w:r>
            <w:r w:rsidR="006E6BD7" w:rsidRPr="005D787E">
              <w:rPr>
                <w:rFonts w:asciiTheme="minorHAnsi" w:hAnsiTheme="minorHAnsi"/>
                <w:sz w:val="22"/>
                <w:szCs w:val="22"/>
              </w:rPr>
              <w:t xml:space="preserve">ozdějších předpisů, </w:t>
            </w:r>
            <w:r w:rsidR="0085221B" w:rsidRPr="005D787E">
              <w:rPr>
                <w:rFonts w:asciiTheme="minorHAnsi" w:hAnsiTheme="minorHAnsi"/>
                <w:sz w:val="22"/>
                <w:szCs w:val="22"/>
              </w:rPr>
              <w:t>kter</w:t>
            </w:r>
            <w:r w:rsidR="00E96371" w:rsidRPr="005D787E">
              <w:rPr>
                <w:rFonts w:asciiTheme="minorHAnsi" w:hAnsiTheme="minorHAnsi"/>
                <w:sz w:val="22"/>
                <w:szCs w:val="22"/>
              </w:rPr>
              <w:t>ý</w:t>
            </w:r>
            <w:r w:rsidR="0085221B" w:rsidRPr="005D787E">
              <w:rPr>
                <w:rFonts w:asciiTheme="minorHAnsi" w:hAnsiTheme="minorHAnsi"/>
                <w:sz w:val="22"/>
                <w:szCs w:val="22"/>
              </w:rPr>
              <w:t xml:space="preserve"> </w:t>
            </w:r>
            <w:r w:rsidR="00E96371" w:rsidRPr="005D787E">
              <w:rPr>
                <w:rFonts w:asciiTheme="minorHAnsi" w:hAnsiTheme="minorHAnsi"/>
                <w:sz w:val="22"/>
                <w:szCs w:val="22"/>
              </w:rPr>
              <w:t>byl rozeslán do meziresortního připomínkového řízení</w:t>
            </w:r>
            <w:r w:rsidR="00870F26">
              <w:rPr>
                <w:rFonts w:asciiTheme="minorHAnsi" w:hAnsiTheme="minorHAnsi"/>
                <w:sz w:val="22"/>
                <w:szCs w:val="22"/>
              </w:rPr>
              <w:t xml:space="preserve"> a na základě vznesených připomínek také upraven. S</w:t>
            </w:r>
            <w:r w:rsidR="00870F26">
              <w:rPr>
                <w:rFonts w:ascii="Calibri" w:hAnsi="Calibri"/>
                <w:sz w:val="22"/>
                <w:szCs w:val="22"/>
              </w:rPr>
              <w:t> ohledem na rozsah provedených změn nicméně došlo k naplnění článku 5 odst. 12 Legislativních pravidel vlády ve spojení s článkem 8 odst. 6 Legislativních pravidel vlády a návrh bude znovu předložen do mezirezortního připomínkového řízení.</w:t>
            </w:r>
            <w:r w:rsidR="006E6BD7">
              <w:rPr>
                <w:rFonts w:asciiTheme="minorHAnsi" w:hAnsiTheme="minorHAnsi"/>
                <w:sz w:val="22"/>
                <w:szCs w:val="22"/>
              </w:rPr>
              <w:t xml:space="preserve"> </w:t>
            </w:r>
            <w:r w:rsidRPr="00CC7834">
              <w:rPr>
                <w:rFonts w:asciiTheme="minorHAnsi" w:hAnsiTheme="minorHAnsi"/>
                <w:sz w:val="22"/>
                <w:szCs w:val="22"/>
              </w:rPr>
              <w:t xml:space="preserve">Tento návrh mimo jiné odráží nové trendy v oblasti pořizování </w:t>
            </w:r>
            <w:r w:rsidR="006E6BD7">
              <w:rPr>
                <w:rFonts w:asciiTheme="minorHAnsi" w:hAnsiTheme="minorHAnsi"/>
                <w:sz w:val="22"/>
                <w:szCs w:val="22"/>
              </w:rPr>
              <w:t>státních hmotných rezerv a</w:t>
            </w:r>
            <w:r w:rsidRPr="00CC7834">
              <w:rPr>
                <w:rFonts w:asciiTheme="minorHAnsi" w:hAnsiTheme="minorHAnsi"/>
                <w:sz w:val="22"/>
                <w:szCs w:val="22"/>
              </w:rPr>
              <w:t xml:space="preserve"> nakládání s</w:t>
            </w:r>
            <w:r w:rsidR="006E6BD7">
              <w:rPr>
                <w:rFonts w:asciiTheme="minorHAnsi" w:hAnsiTheme="minorHAnsi"/>
                <w:sz w:val="22"/>
                <w:szCs w:val="22"/>
              </w:rPr>
              <w:t xml:space="preserve"> nimi</w:t>
            </w:r>
            <w:r w:rsidRPr="00CC7834">
              <w:rPr>
                <w:rFonts w:asciiTheme="minorHAnsi" w:hAnsiTheme="minorHAnsi"/>
                <w:sz w:val="22"/>
                <w:szCs w:val="22"/>
              </w:rPr>
              <w:t>.</w:t>
            </w:r>
          </w:p>
          <w:p w14:paraId="21C16D49" w14:textId="7E80CFD0" w:rsidR="00982E6F" w:rsidRPr="00D1501A" w:rsidRDefault="0035764A" w:rsidP="00982E6F">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3E4E6B">
              <w:rPr>
                <w:rFonts w:asciiTheme="minorHAnsi" w:hAnsiTheme="minorHAnsi"/>
                <w:sz w:val="22"/>
                <w:szCs w:val="22"/>
              </w:rPr>
              <w:t>Dne 31. července</w:t>
            </w:r>
            <w:r w:rsidR="005A4B4B">
              <w:rPr>
                <w:rFonts w:asciiTheme="minorHAnsi" w:hAnsiTheme="minorHAnsi"/>
                <w:sz w:val="22"/>
                <w:szCs w:val="22"/>
              </w:rPr>
              <w:t xml:space="preserve"> 2017</w:t>
            </w:r>
            <w:r w:rsidRPr="003E4E6B">
              <w:rPr>
                <w:rFonts w:asciiTheme="minorHAnsi" w:hAnsiTheme="minorHAnsi"/>
                <w:sz w:val="22"/>
                <w:szCs w:val="22"/>
              </w:rPr>
              <w:t xml:space="preserve"> byl vydán zákon č. 225/2017 Sb., kterým se mění zákon č. 183/2006 Sb., o územním plánování a stavebním řádu (stavební zákon), ve znění pozdějších předpisů, a další související zákony, s účinností od 1. ledna 2018. </w:t>
            </w:r>
            <w:r w:rsidRPr="008712FD">
              <w:rPr>
                <w:rFonts w:asciiTheme="minorHAnsi" w:hAnsiTheme="minorHAnsi"/>
                <w:sz w:val="22"/>
                <w:szCs w:val="22"/>
              </w:rPr>
              <w:t>V rámci této novely došlo k úpravě stavebního zákona a 44 souvisejících zákonů (zákon o posuzování vlivů na životní prostředí, zákon o urychlení výstavby dopravní, vodní a energetické infrastruktury a dalších předpisů).</w:t>
            </w:r>
            <w:r w:rsidRPr="00B71D4F" w:rsidDel="00BE5313">
              <w:rPr>
                <w:rFonts w:asciiTheme="minorHAnsi" w:hAnsiTheme="minorHAnsi"/>
                <w:sz w:val="22"/>
                <w:szCs w:val="22"/>
              </w:rPr>
              <w:t xml:space="preserve"> </w:t>
            </w:r>
            <w:r w:rsidRPr="00B71D4F">
              <w:rPr>
                <w:rFonts w:asciiTheme="minorHAnsi" w:hAnsiTheme="minorHAnsi"/>
                <w:sz w:val="22"/>
                <w:szCs w:val="22"/>
              </w:rPr>
              <w:t xml:space="preserve">Na úseku územního plánování </w:t>
            </w:r>
            <w:r w:rsidRPr="00061085">
              <w:rPr>
                <w:rFonts w:asciiTheme="minorHAnsi" w:hAnsiTheme="minorHAnsi"/>
                <w:sz w:val="22"/>
                <w:szCs w:val="22"/>
              </w:rPr>
              <w:t>byly upraveny postupy vedoucí ke zkrácení procesů pořizování aktualizací a</w:t>
            </w:r>
            <w:r w:rsidRPr="00D90346">
              <w:rPr>
                <w:rFonts w:asciiTheme="minorHAnsi" w:hAnsiTheme="minorHAnsi"/>
                <w:sz w:val="22"/>
                <w:szCs w:val="22"/>
              </w:rPr>
              <w:t xml:space="preserve"> změn územně plánovacích dokumentací v případech, kdy nebudou vyžadovány varianty řešení. V těchto případech bude aktualizaci zásad územního rozvoje nebo změnu územního plánu možné pořídit a vydat </w:t>
            </w:r>
            <w:r w:rsidRPr="0035764A">
              <w:rPr>
                <w:rFonts w:asciiTheme="minorHAnsi" w:hAnsiTheme="minorHAnsi"/>
                <w:sz w:val="22"/>
                <w:szCs w:val="22"/>
              </w:rPr>
              <w:t>zkráceným postupem, a to při zachování všech práv dotčených osob. Postup aktualizace zásad územního rozvoje i změny územního plánu tedy bude v těchto případech maximálně úsporný. Součástí změn je také zkrácení lhůt pro přezkum opatření obecné povahy podle správního řádu i soudního řádu správního na jeden rok.</w:t>
            </w:r>
            <w:r w:rsidRPr="0035764A">
              <w:rPr>
                <w:rFonts w:asciiTheme="minorHAnsi" w:hAnsiTheme="minorHAnsi" w:cs="Arial"/>
                <w:sz w:val="22"/>
                <w:szCs w:val="22"/>
              </w:rPr>
              <w:t xml:space="preserve"> Další změnou je umožnění obcím vymezit přímo </w:t>
            </w:r>
            <w:r w:rsidRPr="0035764A">
              <w:rPr>
                <w:rStyle w:val="Siln"/>
                <w:rFonts w:asciiTheme="minorHAnsi" w:hAnsiTheme="minorHAnsi" w:cs="Arial"/>
                <w:b w:val="0"/>
                <w:sz w:val="22"/>
                <w:szCs w:val="22"/>
              </w:rPr>
              <w:t>část územního plánu s prvky regulačního plánu</w:t>
            </w:r>
            <w:r w:rsidRPr="0035764A">
              <w:rPr>
                <w:rFonts w:asciiTheme="minorHAnsi" w:hAnsiTheme="minorHAnsi" w:cs="Arial"/>
                <w:sz w:val="22"/>
                <w:szCs w:val="22"/>
              </w:rPr>
              <w:t xml:space="preserve">. </w:t>
            </w:r>
            <w:r w:rsidRPr="0035764A">
              <w:rPr>
                <w:rFonts w:asciiTheme="minorHAnsi" w:hAnsiTheme="minorHAnsi"/>
                <w:sz w:val="22"/>
                <w:szCs w:val="22"/>
              </w:rPr>
              <w:t>Na úseku územního rozhodování a stavebního řádu dochází ke spojení územního a stavebního řízení do jednoho společného řízení s</w:t>
            </w:r>
            <w:r w:rsidR="00186AC6">
              <w:rPr>
                <w:rFonts w:asciiTheme="minorHAnsi" w:hAnsiTheme="minorHAnsi"/>
                <w:sz w:val="22"/>
                <w:szCs w:val="22"/>
              </w:rPr>
              <w:t> </w:t>
            </w:r>
            <w:r w:rsidRPr="0035764A">
              <w:rPr>
                <w:rFonts w:asciiTheme="minorHAnsi" w:hAnsiTheme="minorHAnsi"/>
                <w:sz w:val="22"/>
                <w:szCs w:val="22"/>
              </w:rPr>
              <w:t>vydáváním jednoho společného povolení, a to jak u jednotlivých staveb, tak také u souboru staveb (i u vybraných staveb speciálních a jiných).</w:t>
            </w:r>
            <w:r w:rsidRPr="0035764A">
              <w:t xml:space="preserve"> </w:t>
            </w:r>
            <w:r w:rsidRPr="0035764A">
              <w:rPr>
                <w:rFonts w:asciiTheme="minorHAnsi" w:hAnsiTheme="minorHAnsi"/>
                <w:sz w:val="22"/>
                <w:szCs w:val="22"/>
              </w:rPr>
              <w:t>Proces posuzování vlivů na životní prostředí bude možné integrovat do společného řízení, popřípadě do samostatného územního řízení.</w:t>
            </w:r>
          </w:p>
        </w:tc>
      </w:tr>
    </w:tbl>
    <w:p w14:paraId="18B9F8A3" w14:textId="77777777" w:rsidR="00CC7834" w:rsidRPr="001C0781" w:rsidRDefault="00CC7834" w:rsidP="006E05C2">
      <w:pPr>
        <w:pStyle w:val="Nadpis2"/>
      </w:pPr>
      <w:bookmarkStart w:id="23" w:name="_Toc498509199"/>
      <w:r w:rsidRPr="001C0781">
        <w:lastRenderedPageBreak/>
        <w:t>Nástroje v oblasti výkonu státní správy</w:t>
      </w:r>
      <w:bookmarkEnd w:id="23"/>
    </w:p>
    <w:p w14:paraId="5F778AF4" w14:textId="6F69A1C5" w:rsidR="002253F4" w:rsidRPr="001C0781" w:rsidRDefault="00772941" w:rsidP="00E022CB">
      <w:pPr>
        <w:spacing w:after="240"/>
        <w:jc w:val="both"/>
        <w:rPr>
          <w:rFonts w:asciiTheme="minorHAnsi" w:hAnsiTheme="minorHAnsi"/>
          <w:sz w:val="22"/>
          <w:szCs w:val="22"/>
        </w:rPr>
      </w:pPr>
      <w:r w:rsidRPr="001C0781">
        <w:rPr>
          <w:rFonts w:asciiTheme="minorHAnsi" w:hAnsiTheme="minorHAnsi"/>
          <w:sz w:val="22"/>
          <w:szCs w:val="22"/>
        </w:rPr>
        <w:t>V</w:t>
      </w:r>
      <w:r w:rsidR="00E022CB" w:rsidRPr="001C0781">
        <w:rPr>
          <w:rFonts w:asciiTheme="minorHAnsi" w:hAnsiTheme="minorHAnsi"/>
          <w:sz w:val="22"/>
          <w:szCs w:val="22"/>
        </w:rPr>
        <w:t> oblasti výkonu státní správy byl</w:t>
      </w:r>
      <w:r w:rsidR="007D76AF" w:rsidRPr="001C0781">
        <w:rPr>
          <w:rFonts w:asciiTheme="minorHAnsi" w:hAnsiTheme="minorHAnsi"/>
          <w:sz w:val="22"/>
          <w:szCs w:val="22"/>
        </w:rPr>
        <w:t>a</w:t>
      </w:r>
      <w:r w:rsidRPr="001C0781">
        <w:rPr>
          <w:rFonts w:asciiTheme="minorHAnsi" w:hAnsiTheme="minorHAnsi"/>
          <w:sz w:val="22"/>
          <w:szCs w:val="22"/>
        </w:rPr>
        <w:t xml:space="preserve"> </w:t>
      </w:r>
      <w:r w:rsidR="001C0781">
        <w:rPr>
          <w:rFonts w:asciiTheme="minorHAnsi" w:hAnsiTheme="minorHAnsi"/>
          <w:sz w:val="22"/>
          <w:szCs w:val="22"/>
        </w:rPr>
        <w:t>více než</w:t>
      </w:r>
      <w:r w:rsidRPr="001C0781">
        <w:rPr>
          <w:rFonts w:asciiTheme="minorHAnsi" w:hAnsiTheme="minorHAnsi"/>
          <w:sz w:val="22"/>
          <w:szCs w:val="22"/>
        </w:rPr>
        <w:t xml:space="preserve"> polovina úkolů vyplývajících ze stanovených nástrojů s termínem plnění před koncem roku 201</w:t>
      </w:r>
      <w:r w:rsidR="001C0781">
        <w:rPr>
          <w:rFonts w:asciiTheme="minorHAnsi" w:hAnsiTheme="minorHAnsi"/>
          <w:sz w:val="22"/>
          <w:szCs w:val="22"/>
        </w:rPr>
        <w:t>8</w:t>
      </w:r>
      <w:r w:rsidRPr="001C0781">
        <w:rPr>
          <w:rFonts w:asciiTheme="minorHAnsi" w:hAnsiTheme="minorHAnsi"/>
          <w:sz w:val="22"/>
          <w:szCs w:val="22"/>
        </w:rPr>
        <w:t xml:space="preserve"> již</w:t>
      </w:r>
      <w:r w:rsidR="00E022CB" w:rsidRPr="001C0781">
        <w:rPr>
          <w:rFonts w:asciiTheme="minorHAnsi" w:hAnsiTheme="minorHAnsi"/>
          <w:sz w:val="22"/>
          <w:szCs w:val="22"/>
        </w:rPr>
        <w:t xml:space="preserve"> splněna</w:t>
      </w:r>
      <w:r w:rsidRPr="001C0781">
        <w:rPr>
          <w:rFonts w:asciiTheme="minorHAnsi" w:hAnsiTheme="minorHAnsi"/>
          <w:sz w:val="22"/>
          <w:szCs w:val="22"/>
        </w:rPr>
        <w:t xml:space="preserve"> a</w:t>
      </w:r>
      <w:r w:rsidR="00E022CB" w:rsidRPr="001C0781">
        <w:rPr>
          <w:rFonts w:asciiTheme="minorHAnsi" w:hAnsiTheme="minorHAnsi"/>
          <w:sz w:val="22"/>
          <w:szCs w:val="22"/>
        </w:rPr>
        <w:t xml:space="preserve"> část úkolů</w:t>
      </w:r>
      <w:r w:rsidRPr="001C0781">
        <w:rPr>
          <w:rFonts w:asciiTheme="minorHAnsi" w:hAnsiTheme="minorHAnsi"/>
          <w:sz w:val="22"/>
          <w:szCs w:val="22"/>
        </w:rPr>
        <w:t xml:space="preserve"> má nastaveno</w:t>
      </w:r>
      <w:r w:rsidR="00E022CB" w:rsidRPr="001C0781">
        <w:rPr>
          <w:rFonts w:asciiTheme="minorHAnsi" w:hAnsiTheme="minorHAnsi"/>
          <w:sz w:val="22"/>
          <w:szCs w:val="22"/>
        </w:rPr>
        <w:t xml:space="preserve"> průběžné plnění. U</w:t>
      </w:r>
      <w:r w:rsidRPr="001C0781">
        <w:rPr>
          <w:rFonts w:asciiTheme="minorHAnsi" w:hAnsiTheme="minorHAnsi"/>
          <w:sz w:val="22"/>
          <w:szCs w:val="22"/>
        </w:rPr>
        <w:t> </w:t>
      </w:r>
      <w:r w:rsidR="00E022CB" w:rsidRPr="001C0781">
        <w:rPr>
          <w:rFonts w:asciiTheme="minorHAnsi" w:hAnsiTheme="minorHAnsi"/>
          <w:sz w:val="22"/>
          <w:szCs w:val="22"/>
        </w:rPr>
        <w:t>některých úkolů</w:t>
      </w:r>
      <w:r w:rsidRPr="001C0781">
        <w:rPr>
          <w:rFonts w:asciiTheme="minorHAnsi" w:hAnsiTheme="minorHAnsi"/>
          <w:sz w:val="22"/>
          <w:szCs w:val="22"/>
        </w:rPr>
        <w:t xml:space="preserve"> v této oblasti, jako</w:t>
      </w:r>
      <w:r w:rsidR="00E022CB" w:rsidRPr="001C0781">
        <w:rPr>
          <w:rFonts w:asciiTheme="minorHAnsi" w:hAnsiTheme="minorHAnsi"/>
          <w:sz w:val="22"/>
          <w:szCs w:val="22"/>
        </w:rPr>
        <w:t xml:space="preserve"> </w:t>
      </w:r>
      <w:r w:rsidRPr="001C0781">
        <w:rPr>
          <w:rFonts w:asciiTheme="minorHAnsi" w:hAnsiTheme="minorHAnsi"/>
          <w:sz w:val="22"/>
          <w:szCs w:val="22"/>
        </w:rPr>
        <w:t>na</w:t>
      </w:r>
      <w:r w:rsidR="00E022CB" w:rsidRPr="001C0781">
        <w:rPr>
          <w:rFonts w:asciiTheme="minorHAnsi" w:hAnsiTheme="minorHAnsi"/>
          <w:sz w:val="22"/>
          <w:szCs w:val="22"/>
        </w:rPr>
        <w:t>příklad regulace energetických odvětví</w:t>
      </w:r>
      <w:r w:rsidRPr="001C0781">
        <w:rPr>
          <w:rFonts w:asciiTheme="minorHAnsi" w:hAnsiTheme="minorHAnsi"/>
          <w:sz w:val="22"/>
          <w:szCs w:val="22"/>
        </w:rPr>
        <w:t>,</w:t>
      </w:r>
      <w:r w:rsidR="00E022CB" w:rsidRPr="001C0781">
        <w:rPr>
          <w:rFonts w:asciiTheme="minorHAnsi" w:hAnsiTheme="minorHAnsi"/>
          <w:sz w:val="22"/>
          <w:szCs w:val="22"/>
        </w:rPr>
        <w:t xml:space="preserve"> je v podrobnostech uvedeno množství dílčích kroků, které podmiňují plnění daného úkolu jako celku. </w:t>
      </w:r>
      <w:r w:rsidR="00572041" w:rsidRPr="001C0781">
        <w:rPr>
          <w:rFonts w:asciiTheme="minorHAnsi" w:hAnsiTheme="minorHAnsi"/>
          <w:sz w:val="22"/>
          <w:szCs w:val="22"/>
        </w:rPr>
        <w:t>V těchto případech je konkrétně uvedeno, jaké části úkolu jsou splněny.</w:t>
      </w:r>
    </w:p>
    <w:tbl>
      <w:tblPr>
        <w:tblStyle w:val="Mkatabulky"/>
        <w:tblW w:w="4959" w:type="pct"/>
        <w:tblLook w:val="04A0" w:firstRow="1" w:lastRow="0" w:firstColumn="1" w:lastColumn="0" w:noHBand="0" w:noVBand="1"/>
      </w:tblPr>
      <w:tblGrid>
        <w:gridCol w:w="1535"/>
        <w:gridCol w:w="7677"/>
      </w:tblGrid>
      <w:tr w:rsidR="00D1501A" w:rsidRPr="006B443D" w14:paraId="158EBCD9" w14:textId="77777777" w:rsidTr="00710291">
        <w:tc>
          <w:tcPr>
            <w:tcW w:w="833" w:type="pct"/>
            <w:shd w:val="clear" w:color="auto" w:fill="DBE5F1" w:themeFill="accent1" w:themeFillTint="33"/>
            <w:vAlign w:val="center"/>
          </w:tcPr>
          <w:p w14:paraId="318438B1" w14:textId="77777777" w:rsidR="00D1501A" w:rsidRPr="001C0781" w:rsidRDefault="00D1501A" w:rsidP="002C5FC9">
            <w:pPr>
              <w:keepNext/>
              <w:jc w:val="center"/>
              <w:rPr>
                <w:rFonts w:asciiTheme="minorHAnsi" w:hAnsiTheme="minorHAnsi"/>
                <w:b/>
                <w:sz w:val="22"/>
                <w:szCs w:val="22"/>
              </w:rPr>
            </w:pPr>
            <w:r w:rsidRPr="001C0781">
              <w:rPr>
                <w:rFonts w:asciiTheme="minorHAnsi" w:hAnsiTheme="minorHAnsi"/>
                <w:b/>
                <w:sz w:val="22"/>
                <w:szCs w:val="22"/>
              </w:rPr>
              <w:t>Nástroj</w:t>
            </w:r>
          </w:p>
        </w:tc>
        <w:tc>
          <w:tcPr>
            <w:tcW w:w="4167" w:type="pct"/>
            <w:shd w:val="clear" w:color="auto" w:fill="DBE5F1" w:themeFill="accent1" w:themeFillTint="33"/>
            <w:vAlign w:val="center"/>
          </w:tcPr>
          <w:p w14:paraId="387FAFF9" w14:textId="77777777" w:rsidR="00D1501A" w:rsidRPr="006B443D" w:rsidRDefault="00CC7834" w:rsidP="002C5FC9">
            <w:pPr>
              <w:keepNext/>
              <w:spacing w:before="120" w:after="120"/>
              <w:jc w:val="both"/>
              <w:rPr>
                <w:rFonts w:asciiTheme="minorHAnsi" w:hAnsiTheme="minorHAnsi"/>
                <w:b/>
                <w:sz w:val="22"/>
                <w:szCs w:val="22"/>
              </w:rPr>
            </w:pPr>
            <w:r w:rsidRPr="001C0781">
              <w:rPr>
                <w:rFonts w:asciiTheme="minorHAnsi" w:hAnsiTheme="minorHAnsi"/>
                <w:b/>
                <w:sz w:val="22"/>
                <w:szCs w:val="22"/>
              </w:rPr>
              <w:t>Regulace energetických odvětví</w:t>
            </w:r>
          </w:p>
        </w:tc>
      </w:tr>
      <w:tr w:rsidR="00D1501A" w:rsidRPr="006B443D" w14:paraId="02FAAB6F" w14:textId="77777777" w:rsidTr="00710291">
        <w:tc>
          <w:tcPr>
            <w:tcW w:w="833" w:type="pct"/>
            <w:vAlign w:val="center"/>
          </w:tcPr>
          <w:p w14:paraId="1FEF9F0F"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46B5CE34" w14:textId="77777777" w:rsidR="00CC7834" w:rsidRPr="00CC7834" w:rsidRDefault="00CC7834" w:rsidP="00CC7834">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CC7834">
              <w:rPr>
                <w:rFonts w:asciiTheme="minorHAnsi" w:hAnsiTheme="minorHAnsi"/>
                <w:sz w:val="22"/>
                <w:szCs w:val="22"/>
              </w:rPr>
              <w:t>Zajistit výkon regulace energetických odvětví tak, aby byly systematicky naplňovány cíle Státní energetické koncepce a Surovinové politiky.</w:t>
            </w:r>
          </w:p>
          <w:p w14:paraId="47B46CDE" w14:textId="61F14405" w:rsidR="00CC7834" w:rsidRPr="00CC7834" w:rsidRDefault="00CC7834" w:rsidP="00CC7834">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CC7834">
              <w:rPr>
                <w:rFonts w:asciiTheme="minorHAnsi" w:hAnsiTheme="minorHAnsi"/>
                <w:sz w:val="22"/>
                <w:szCs w:val="22"/>
              </w:rPr>
              <w:t>Upravit systém podpory OZE ve vazbě na splnění cílů Národního akčního plánu ČR pro energii z OZE tak, aby významně nezatěžoval českou ekonomiku a</w:t>
            </w:r>
            <w:r w:rsidR="007D28DC">
              <w:rPr>
                <w:rFonts w:asciiTheme="minorHAnsi" w:hAnsiTheme="minorHAnsi"/>
                <w:sz w:val="22"/>
                <w:szCs w:val="22"/>
              </w:rPr>
              <w:t> </w:t>
            </w:r>
            <w:r w:rsidRPr="00CC7834">
              <w:rPr>
                <w:rFonts w:asciiTheme="minorHAnsi" w:hAnsiTheme="minorHAnsi"/>
                <w:sz w:val="22"/>
                <w:szCs w:val="22"/>
              </w:rPr>
              <w:t>domácnosti a zároveň aby byly podpořeny ty druhy OZE, pro jejichž využití má ČR vhodné podmínky.</w:t>
            </w:r>
          </w:p>
          <w:p w14:paraId="6FC16187" w14:textId="3AC73A25" w:rsidR="00CC7834" w:rsidRPr="00CC7834" w:rsidRDefault="00CC7834" w:rsidP="00CC7834">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CC7834">
              <w:rPr>
                <w:rFonts w:asciiTheme="minorHAnsi" w:hAnsiTheme="minorHAnsi"/>
                <w:sz w:val="22"/>
                <w:szCs w:val="22"/>
              </w:rPr>
              <w:lastRenderedPageBreak/>
              <w:t>Nastavení struktury tarifů za přenosové, distribuční a systémové služby (zejména poměr složek plateb na straně spotřeby a výroby) tak, aby vytvářely vhodné lokační signály a nediskriminační prostředí v rámci energetického odvětví a aby zajišťovaly stabilitu a dlouhodobou udržitelnost financování sítí i</w:t>
            </w:r>
            <w:r w:rsidR="007D28DC">
              <w:rPr>
                <w:rFonts w:asciiTheme="minorHAnsi" w:hAnsiTheme="minorHAnsi"/>
                <w:sz w:val="22"/>
                <w:szCs w:val="22"/>
              </w:rPr>
              <w:t> </w:t>
            </w:r>
            <w:r w:rsidRPr="00CC7834">
              <w:rPr>
                <w:rFonts w:asciiTheme="minorHAnsi" w:hAnsiTheme="minorHAnsi"/>
                <w:sz w:val="22"/>
                <w:szCs w:val="22"/>
              </w:rPr>
              <w:t>při větším rozsahu rozšíření malých domovních zdrojů výroby elektřiny.</w:t>
            </w:r>
          </w:p>
          <w:p w14:paraId="68C772EC" w14:textId="77777777" w:rsidR="00CC7834" w:rsidRPr="00CC7834" w:rsidRDefault="00CC7834" w:rsidP="00CC7834">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CC7834">
              <w:rPr>
                <w:rFonts w:asciiTheme="minorHAnsi" w:hAnsiTheme="minorHAnsi"/>
                <w:sz w:val="22"/>
                <w:szCs w:val="22"/>
              </w:rPr>
              <w:t>Podpora investic a rozvoj přenosových a distribučních sítí (podmínky připojení, dostupnost kapacit sítí pro připojení nových zdrojů i spotřeby jako parametr kvality v motivační regulaci).</w:t>
            </w:r>
          </w:p>
          <w:p w14:paraId="4690C3BE" w14:textId="77777777" w:rsidR="00CC7834" w:rsidRPr="00CC7834" w:rsidRDefault="00CC7834" w:rsidP="00CC7834">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CC7834">
              <w:rPr>
                <w:rFonts w:asciiTheme="minorHAnsi" w:hAnsiTheme="minorHAnsi"/>
                <w:sz w:val="22"/>
                <w:szCs w:val="22"/>
              </w:rPr>
              <w:t>Revize tarifů a jejich struktury pro budoucí regulační období ve vazbě na vývoj inteligentních sítí, rozvoj decentralizovaných zdrojů a pasivních domů tak, aby byl udržen nediskriminační a spravedlivý způsob účasti jednotlivých skupin uživatelů sítí na jejich nákladech.</w:t>
            </w:r>
          </w:p>
          <w:p w14:paraId="3AB21B1A" w14:textId="77777777" w:rsidR="00CC7834" w:rsidRPr="00CC7834" w:rsidRDefault="00CC7834" w:rsidP="00CC7834">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CC7834">
              <w:rPr>
                <w:rFonts w:asciiTheme="minorHAnsi" w:hAnsiTheme="minorHAnsi"/>
                <w:sz w:val="22"/>
                <w:szCs w:val="22"/>
              </w:rPr>
              <w:t>Revize plynárenských tarifů ve vazbě na možný vývoj v oblasti podpůrných služeb a teplárenství (motivace pro menší investory).</w:t>
            </w:r>
          </w:p>
          <w:p w14:paraId="5DC68E6F" w14:textId="77777777" w:rsidR="00CC7834" w:rsidRPr="00CC7834" w:rsidRDefault="00CC7834" w:rsidP="00CC7834">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CC7834">
              <w:rPr>
                <w:rFonts w:asciiTheme="minorHAnsi" w:hAnsiTheme="minorHAnsi"/>
                <w:sz w:val="22"/>
                <w:szCs w:val="22"/>
              </w:rPr>
              <w:t>Podpora kombinované výroby elektřiny a tepla a druhotných zdrojů v rozsahu, ve kterém přispívají ke stabilitě sítě, odolnosti proti poruchám a efektivnosti využití sítí.</w:t>
            </w:r>
          </w:p>
          <w:p w14:paraId="255317EF" w14:textId="77777777" w:rsidR="00CC7834" w:rsidRPr="00CC7834" w:rsidRDefault="00CC7834" w:rsidP="00CC7834">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CC7834">
              <w:rPr>
                <w:rFonts w:asciiTheme="minorHAnsi" w:hAnsiTheme="minorHAnsi"/>
                <w:sz w:val="22"/>
                <w:szCs w:val="22"/>
              </w:rPr>
              <w:t>Revize a doplnění Pravidel provozování přenosové, přepravní a distribučních soustav s cílem nastavení podmínek zajišťujících přednostní přístup podporovaných zdrojů k sítím a současně technické podmínky pro nové zdroje zajišťující omezení negativního zpětného vlivu decentralizovaných zdrojů na kvalitu dodávek elektřiny a spolehlivost provozu sítí.</w:t>
            </w:r>
          </w:p>
          <w:p w14:paraId="7FC9FCF8" w14:textId="77777777" w:rsidR="00D1501A" w:rsidRPr="006B443D" w:rsidRDefault="00CC7834" w:rsidP="00A12E55">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CC7834">
              <w:rPr>
                <w:rFonts w:asciiTheme="minorHAnsi" w:hAnsiTheme="minorHAnsi"/>
                <w:sz w:val="22"/>
                <w:szCs w:val="22"/>
              </w:rPr>
              <w:t>Regulační rámec musí být dlouhodobě stabilní a regulované ceny musí pokrývat u přenosu elektřiny, přepravy plynu, distribuce elektřiny a distribuce plynu účelně vynaložené náklady na zajištění spolehlivého, bezpečného a efektivního výkonu těchto činností, odpisy a přiměřený zisk zajišťující návratnost realizovaných investic do zařízení sloužících k řádnému výkonu licencované činnosti.</w:t>
            </w:r>
          </w:p>
        </w:tc>
      </w:tr>
      <w:tr w:rsidR="00D1501A" w:rsidRPr="006B443D" w14:paraId="1275A879" w14:textId="77777777" w:rsidTr="00710291">
        <w:tc>
          <w:tcPr>
            <w:tcW w:w="833" w:type="pct"/>
            <w:vAlign w:val="center"/>
          </w:tcPr>
          <w:p w14:paraId="658F862E"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lastRenderedPageBreak/>
              <w:t>Gesce</w:t>
            </w:r>
          </w:p>
        </w:tc>
        <w:tc>
          <w:tcPr>
            <w:tcW w:w="4167" w:type="pct"/>
            <w:vAlign w:val="center"/>
          </w:tcPr>
          <w:p w14:paraId="4E1B9025" w14:textId="77777777" w:rsidR="00D1501A" w:rsidRPr="006B443D" w:rsidRDefault="00CC7834" w:rsidP="00710291">
            <w:pPr>
              <w:spacing w:before="120" w:after="120"/>
              <w:jc w:val="both"/>
              <w:rPr>
                <w:rFonts w:asciiTheme="minorHAnsi" w:hAnsiTheme="minorHAnsi"/>
                <w:sz w:val="22"/>
                <w:szCs w:val="22"/>
              </w:rPr>
            </w:pPr>
            <w:r>
              <w:rPr>
                <w:rFonts w:asciiTheme="minorHAnsi" w:hAnsiTheme="minorHAnsi"/>
                <w:sz w:val="22"/>
                <w:szCs w:val="22"/>
              </w:rPr>
              <w:t>ERÚ</w:t>
            </w:r>
          </w:p>
        </w:tc>
      </w:tr>
      <w:tr w:rsidR="00D1501A" w:rsidRPr="006B443D" w14:paraId="3E787355" w14:textId="77777777" w:rsidTr="00710291">
        <w:tc>
          <w:tcPr>
            <w:tcW w:w="833" w:type="pct"/>
            <w:vAlign w:val="center"/>
          </w:tcPr>
          <w:p w14:paraId="46CCD2F1"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3AC54F1A" w14:textId="77777777" w:rsidR="00D1501A" w:rsidRPr="006B443D" w:rsidRDefault="00CC7834" w:rsidP="00710291">
            <w:pPr>
              <w:spacing w:before="120" w:after="120"/>
              <w:jc w:val="both"/>
              <w:rPr>
                <w:rFonts w:asciiTheme="minorHAnsi" w:hAnsiTheme="minorHAnsi"/>
                <w:sz w:val="22"/>
                <w:szCs w:val="22"/>
              </w:rPr>
            </w:pPr>
            <w:r>
              <w:rPr>
                <w:rFonts w:asciiTheme="minorHAnsi" w:hAnsiTheme="minorHAnsi"/>
                <w:sz w:val="22"/>
                <w:szCs w:val="22"/>
              </w:rPr>
              <w:t>31. 12. 2016</w:t>
            </w:r>
          </w:p>
        </w:tc>
      </w:tr>
      <w:tr w:rsidR="00D1501A" w:rsidRPr="006B443D" w14:paraId="3910C276" w14:textId="77777777" w:rsidTr="00710291">
        <w:tc>
          <w:tcPr>
            <w:tcW w:w="833" w:type="pct"/>
            <w:vAlign w:val="center"/>
          </w:tcPr>
          <w:p w14:paraId="2DED6A62"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0816F7AA" w14:textId="7DD1ED6E" w:rsidR="00CC7834" w:rsidRPr="00CC7834" w:rsidRDefault="00CC7834" w:rsidP="00CC7834">
            <w:pPr>
              <w:overflowPunct w:val="0"/>
              <w:autoSpaceDE w:val="0"/>
              <w:autoSpaceDN w:val="0"/>
              <w:adjustRightInd w:val="0"/>
              <w:spacing w:before="120" w:after="120"/>
              <w:jc w:val="both"/>
              <w:textAlignment w:val="baseline"/>
              <w:rPr>
                <w:rFonts w:asciiTheme="minorHAnsi" w:hAnsiTheme="minorHAnsi"/>
                <w:b/>
                <w:sz w:val="22"/>
                <w:szCs w:val="22"/>
              </w:rPr>
            </w:pPr>
            <w:r w:rsidRPr="00CC7834">
              <w:rPr>
                <w:rFonts w:asciiTheme="minorHAnsi" w:hAnsiTheme="minorHAnsi"/>
                <w:b/>
                <w:sz w:val="22"/>
                <w:szCs w:val="22"/>
              </w:rPr>
              <w:t>Splněno dílčím způsobem + plněno průběžně</w:t>
            </w:r>
          </w:p>
          <w:p w14:paraId="54BF8900" w14:textId="0808C579" w:rsidR="00D1501A" w:rsidRDefault="00CC7834" w:rsidP="00EA444A">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CC7834">
              <w:rPr>
                <w:rFonts w:asciiTheme="minorHAnsi" w:hAnsiTheme="minorHAnsi"/>
                <w:sz w:val="22"/>
                <w:szCs w:val="22"/>
              </w:rPr>
              <w:t>ERÚ v rámci nastavování výše podpory OZE, KVET a DZ každoročně vydává příslušná cenová rozhodnutí na základě platné legislativy</w:t>
            </w:r>
            <w:r w:rsidR="00982E6F">
              <w:rPr>
                <w:rFonts w:asciiTheme="minorHAnsi" w:hAnsiTheme="minorHAnsi"/>
                <w:sz w:val="22"/>
                <w:szCs w:val="22"/>
              </w:rPr>
              <w:t xml:space="preserve"> a rovněž příslušných oznámení Evropské komise, případně závazků Č</w:t>
            </w:r>
            <w:r w:rsidR="003504D7">
              <w:rPr>
                <w:rFonts w:asciiTheme="minorHAnsi" w:hAnsiTheme="minorHAnsi"/>
                <w:sz w:val="22"/>
                <w:szCs w:val="22"/>
              </w:rPr>
              <w:t>R</w:t>
            </w:r>
            <w:r w:rsidR="00982E6F">
              <w:rPr>
                <w:rFonts w:asciiTheme="minorHAnsi" w:hAnsiTheme="minorHAnsi"/>
                <w:sz w:val="22"/>
                <w:szCs w:val="22"/>
              </w:rPr>
              <w:t>, na jejichž základě</w:t>
            </w:r>
            <w:r w:rsidR="003504D7">
              <w:rPr>
                <w:rFonts w:asciiTheme="minorHAnsi" w:hAnsiTheme="minorHAnsi"/>
                <w:sz w:val="22"/>
                <w:szCs w:val="22"/>
              </w:rPr>
              <w:t xml:space="preserve"> je</w:t>
            </w:r>
            <w:r w:rsidR="00982E6F">
              <w:rPr>
                <w:rFonts w:asciiTheme="minorHAnsi" w:hAnsiTheme="minorHAnsi"/>
                <w:sz w:val="22"/>
                <w:szCs w:val="22"/>
              </w:rPr>
              <w:t xml:space="preserve"> příslušné schéma veřejné podpory považováno za slučitelné s</w:t>
            </w:r>
            <w:r w:rsidR="003504D7">
              <w:rPr>
                <w:rFonts w:asciiTheme="minorHAnsi" w:hAnsiTheme="minorHAnsi"/>
                <w:sz w:val="22"/>
                <w:szCs w:val="22"/>
              </w:rPr>
              <w:t xml:space="preserve"> </w:t>
            </w:r>
            <w:r w:rsidR="00982E6F">
              <w:rPr>
                <w:rFonts w:asciiTheme="minorHAnsi" w:hAnsiTheme="minorHAnsi"/>
                <w:sz w:val="22"/>
                <w:szCs w:val="22"/>
              </w:rPr>
              <w:t>vnitřním trhem EU</w:t>
            </w:r>
            <w:r w:rsidRPr="00CC7834">
              <w:rPr>
                <w:rFonts w:asciiTheme="minorHAnsi" w:hAnsiTheme="minorHAnsi"/>
                <w:sz w:val="22"/>
                <w:szCs w:val="22"/>
              </w:rPr>
              <w:t>. Projektový tým ERÚ dále připravuje</w:t>
            </w:r>
            <w:r w:rsidR="003504D7">
              <w:rPr>
                <w:rFonts w:asciiTheme="minorHAnsi" w:hAnsiTheme="minorHAnsi"/>
                <w:sz w:val="22"/>
                <w:szCs w:val="22"/>
              </w:rPr>
              <w:t xml:space="preserve"> Změnu</w:t>
            </w:r>
            <w:r w:rsidRPr="00CC7834">
              <w:rPr>
                <w:rFonts w:asciiTheme="minorHAnsi" w:hAnsiTheme="minorHAnsi"/>
                <w:sz w:val="22"/>
                <w:szCs w:val="22"/>
              </w:rPr>
              <w:t xml:space="preserve"> tarifní struktur</w:t>
            </w:r>
            <w:r w:rsidR="003504D7">
              <w:rPr>
                <w:rFonts w:asciiTheme="minorHAnsi" w:hAnsiTheme="minorHAnsi"/>
                <w:sz w:val="22"/>
                <w:szCs w:val="22"/>
              </w:rPr>
              <w:t>y</w:t>
            </w:r>
            <w:r w:rsidRPr="00CC7834">
              <w:rPr>
                <w:rFonts w:asciiTheme="minorHAnsi" w:hAnsiTheme="minorHAnsi"/>
                <w:sz w:val="22"/>
                <w:szCs w:val="22"/>
              </w:rPr>
              <w:t xml:space="preserve"> v elektroenergetice. Od</w:t>
            </w:r>
            <w:r w:rsidR="007179A4">
              <w:rPr>
                <w:rFonts w:asciiTheme="minorHAnsi" w:hAnsiTheme="minorHAnsi"/>
                <w:sz w:val="22"/>
                <w:szCs w:val="22"/>
              </w:rPr>
              <w:t xml:space="preserve"> roku</w:t>
            </w:r>
            <w:r w:rsidRPr="00CC7834">
              <w:rPr>
                <w:rFonts w:asciiTheme="minorHAnsi" w:hAnsiTheme="minorHAnsi"/>
                <w:sz w:val="22"/>
                <w:szCs w:val="22"/>
              </w:rPr>
              <w:t xml:space="preserve"> 2016 tak</w:t>
            </w:r>
            <w:r w:rsidR="003504D7">
              <w:rPr>
                <w:rFonts w:asciiTheme="minorHAnsi" w:hAnsiTheme="minorHAnsi"/>
                <w:sz w:val="22"/>
                <w:szCs w:val="22"/>
              </w:rPr>
              <w:t xml:space="preserve"> platí</w:t>
            </w:r>
            <w:r w:rsidRPr="00CC7834">
              <w:rPr>
                <w:rFonts w:asciiTheme="minorHAnsi" w:hAnsiTheme="minorHAnsi"/>
                <w:sz w:val="22"/>
                <w:szCs w:val="22"/>
              </w:rPr>
              <w:t xml:space="preserve"> podmínky a pravidla regulace na </w:t>
            </w:r>
            <w:r w:rsidR="007179A4">
              <w:rPr>
                <w:rFonts w:asciiTheme="minorHAnsi" w:hAnsiTheme="minorHAnsi"/>
                <w:sz w:val="22"/>
                <w:szCs w:val="22"/>
              </w:rPr>
              <w:t>I</w:t>
            </w:r>
            <w:r w:rsidRPr="00CC7834">
              <w:rPr>
                <w:rFonts w:asciiTheme="minorHAnsi" w:hAnsiTheme="minorHAnsi"/>
                <w:sz w:val="22"/>
                <w:szCs w:val="22"/>
              </w:rPr>
              <w:t>V. regulační období pro elektroenergetik</w:t>
            </w:r>
            <w:r w:rsidR="003504D7">
              <w:rPr>
                <w:rFonts w:asciiTheme="minorHAnsi" w:hAnsiTheme="minorHAnsi"/>
                <w:sz w:val="22"/>
                <w:szCs w:val="22"/>
              </w:rPr>
              <w:t>u</w:t>
            </w:r>
            <w:r w:rsidRPr="00CC7834">
              <w:rPr>
                <w:rFonts w:asciiTheme="minorHAnsi" w:hAnsiTheme="minorHAnsi"/>
                <w:sz w:val="22"/>
                <w:szCs w:val="22"/>
              </w:rPr>
              <w:t xml:space="preserve"> a plynárenství</w:t>
            </w:r>
            <w:r w:rsidR="007179A4">
              <w:rPr>
                <w:rFonts w:asciiTheme="minorHAnsi" w:hAnsiTheme="minorHAnsi"/>
                <w:sz w:val="22"/>
                <w:szCs w:val="22"/>
              </w:rPr>
              <w:t xml:space="preserve"> a</w:t>
            </w:r>
            <w:r w:rsidR="003504D7">
              <w:rPr>
                <w:rFonts w:asciiTheme="minorHAnsi" w:hAnsiTheme="minorHAnsi"/>
                <w:sz w:val="22"/>
                <w:szCs w:val="22"/>
              </w:rPr>
              <w:t xml:space="preserve"> </w:t>
            </w:r>
            <w:r w:rsidR="007179A4">
              <w:rPr>
                <w:rFonts w:asciiTheme="minorHAnsi" w:hAnsiTheme="minorHAnsi"/>
                <w:sz w:val="22"/>
                <w:szCs w:val="22"/>
              </w:rPr>
              <w:t>činnosti operátora trhu v elektroenergetice a</w:t>
            </w:r>
            <w:r w:rsidR="003504D7">
              <w:rPr>
                <w:rFonts w:asciiTheme="minorHAnsi" w:hAnsiTheme="minorHAnsi"/>
                <w:sz w:val="22"/>
                <w:szCs w:val="22"/>
              </w:rPr>
              <w:t> </w:t>
            </w:r>
            <w:r w:rsidR="007179A4">
              <w:rPr>
                <w:rFonts w:asciiTheme="minorHAnsi" w:hAnsiTheme="minorHAnsi"/>
                <w:sz w:val="22"/>
                <w:szCs w:val="22"/>
              </w:rPr>
              <w:t>plynárenství</w:t>
            </w:r>
            <w:r w:rsidRPr="00CC7834">
              <w:rPr>
                <w:rFonts w:asciiTheme="minorHAnsi" w:hAnsiTheme="minorHAnsi"/>
                <w:sz w:val="22"/>
                <w:szCs w:val="22"/>
              </w:rPr>
              <w:t xml:space="preserve">, které </w:t>
            </w:r>
            <w:r w:rsidR="003504D7">
              <w:rPr>
                <w:rFonts w:asciiTheme="minorHAnsi" w:hAnsiTheme="minorHAnsi"/>
                <w:sz w:val="22"/>
                <w:szCs w:val="22"/>
              </w:rPr>
              <w:t>budou</w:t>
            </w:r>
            <w:r w:rsidRPr="00CC7834">
              <w:rPr>
                <w:rFonts w:asciiTheme="minorHAnsi" w:hAnsiTheme="minorHAnsi"/>
                <w:sz w:val="22"/>
                <w:szCs w:val="22"/>
              </w:rPr>
              <w:t xml:space="preserve"> aplikovány </w:t>
            </w:r>
            <w:r w:rsidR="007179A4">
              <w:rPr>
                <w:rFonts w:asciiTheme="minorHAnsi" w:hAnsiTheme="minorHAnsi"/>
                <w:sz w:val="22"/>
                <w:szCs w:val="22"/>
              </w:rPr>
              <w:t>do</w:t>
            </w:r>
            <w:r w:rsidRPr="00CC7834">
              <w:rPr>
                <w:rFonts w:asciiTheme="minorHAnsi" w:hAnsiTheme="minorHAnsi"/>
                <w:sz w:val="22"/>
                <w:szCs w:val="22"/>
              </w:rPr>
              <w:t xml:space="preserve"> roku</w:t>
            </w:r>
            <w:r w:rsidR="007179A4">
              <w:rPr>
                <w:rFonts w:asciiTheme="minorHAnsi" w:hAnsiTheme="minorHAnsi"/>
                <w:sz w:val="22"/>
                <w:szCs w:val="22"/>
              </w:rPr>
              <w:t xml:space="preserve"> 2020</w:t>
            </w:r>
            <w:r w:rsidRPr="00CC7834">
              <w:rPr>
                <w:rFonts w:asciiTheme="minorHAnsi" w:hAnsiTheme="minorHAnsi"/>
                <w:sz w:val="22"/>
                <w:szCs w:val="22"/>
              </w:rPr>
              <w:t>.</w:t>
            </w:r>
            <w:r w:rsidR="003504D7">
              <w:rPr>
                <w:rFonts w:asciiTheme="minorHAnsi" w:hAnsiTheme="minorHAnsi"/>
                <w:sz w:val="22"/>
                <w:szCs w:val="22"/>
              </w:rPr>
              <w:t xml:space="preserve"> S ohledem na pravomoci dané energetickým zákonem připravuje ERÚ principy pro další regulační období.</w:t>
            </w:r>
            <w:r w:rsidR="00EA444A">
              <w:rPr>
                <w:rFonts w:asciiTheme="minorHAnsi" w:hAnsiTheme="minorHAnsi"/>
                <w:sz w:val="22"/>
                <w:szCs w:val="22"/>
              </w:rPr>
              <w:t xml:space="preserve"> Snahou a cílem ERÚ je zachovat výkon regulace energetických odvětví v souladu s energetickým zákonem a relevantní nadřazenou legislativou EU</w:t>
            </w:r>
            <w:r w:rsidR="006B449D">
              <w:rPr>
                <w:rFonts w:asciiTheme="minorHAnsi" w:hAnsiTheme="minorHAnsi"/>
                <w:sz w:val="22"/>
                <w:szCs w:val="22"/>
              </w:rPr>
              <w:t>.</w:t>
            </w:r>
          </w:p>
          <w:p w14:paraId="7A85B8B0" w14:textId="77777777" w:rsidR="003504D7" w:rsidRDefault="003504D7" w:rsidP="00EA444A">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V rámci plnění Národního akčního plánu pro chytré sítě byla provedena revize plynárenských tarifů ve vazbě na možný vývoj v oblasti podpůrných služeb a teplárenství (motivace pro menší investory).</w:t>
            </w:r>
          </w:p>
          <w:p w14:paraId="2FEE6B3D" w14:textId="77777777" w:rsidR="00EA444A" w:rsidRDefault="00EA444A" w:rsidP="00851A97">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ERÚ stanovuje podporu kombinované výroby elektřiny a tepla a druhotných zdrojů v souladu se zákonem o POZE a výstupy notifikací tak, aby systém podpory nezatěžoval českou ekonomiku a domácnosti</w:t>
            </w:r>
            <w:r w:rsidR="00851A97">
              <w:rPr>
                <w:rFonts w:asciiTheme="minorHAnsi" w:hAnsiTheme="minorHAnsi"/>
                <w:sz w:val="22"/>
                <w:szCs w:val="22"/>
              </w:rPr>
              <w:t>.</w:t>
            </w:r>
          </w:p>
          <w:p w14:paraId="7427E1DD" w14:textId="3DCAF115" w:rsidR="00851A97" w:rsidRPr="00851A97" w:rsidRDefault="00851A97" w:rsidP="008274B3">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851A97">
              <w:rPr>
                <w:rFonts w:asciiTheme="minorHAnsi" w:hAnsiTheme="minorHAnsi"/>
                <w:sz w:val="22"/>
                <w:szCs w:val="22"/>
              </w:rPr>
              <w:lastRenderedPageBreak/>
              <w:t xml:space="preserve">Cílem regulace je zajistit, aby regulační rámec zůstal v souladu s energetickým zákonem a nadřazenou legislativou EU, </w:t>
            </w:r>
            <w:r>
              <w:rPr>
                <w:rFonts w:asciiTheme="minorHAnsi" w:hAnsiTheme="minorHAnsi"/>
                <w:sz w:val="22"/>
                <w:szCs w:val="22"/>
              </w:rPr>
              <w:t xml:space="preserve">dále </w:t>
            </w:r>
            <w:r w:rsidRPr="00851A97">
              <w:rPr>
                <w:rFonts w:asciiTheme="minorHAnsi" w:hAnsiTheme="minorHAnsi"/>
                <w:sz w:val="22"/>
                <w:szCs w:val="22"/>
              </w:rPr>
              <w:t xml:space="preserve">aby se podpora investic a rozvoj přenosových a distribučních sítí uskutečňovala mezích </w:t>
            </w:r>
            <w:r>
              <w:rPr>
                <w:rFonts w:asciiTheme="minorHAnsi" w:hAnsiTheme="minorHAnsi"/>
                <w:sz w:val="22"/>
                <w:szCs w:val="22"/>
              </w:rPr>
              <w:t>energetického zákona</w:t>
            </w:r>
            <w:r w:rsidRPr="00851A97">
              <w:rPr>
                <w:rFonts w:asciiTheme="minorHAnsi" w:hAnsiTheme="minorHAnsi"/>
                <w:sz w:val="22"/>
                <w:szCs w:val="22"/>
              </w:rPr>
              <w:t xml:space="preserve"> a</w:t>
            </w:r>
            <w:r>
              <w:rPr>
                <w:rFonts w:asciiTheme="minorHAnsi" w:hAnsiTheme="minorHAnsi"/>
                <w:sz w:val="22"/>
                <w:szCs w:val="22"/>
              </w:rPr>
              <w:t> </w:t>
            </w:r>
            <w:r w:rsidRPr="00851A97">
              <w:rPr>
                <w:rFonts w:asciiTheme="minorHAnsi" w:hAnsiTheme="minorHAnsi"/>
                <w:sz w:val="22"/>
                <w:szCs w:val="22"/>
              </w:rPr>
              <w:t>nadřazené legislativy EU,</w:t>
            </w:r>
            <w:r>
              <w:rPr>
                <w:rFonts w:asciiTheme="minorHAnsi" w:hAnsiTheme="minorHAnsi"/>
                <w:sz w:val="22"/>
                <w:szCs w:val="22"/>
              </w:rPr>
              <w:t xml:space="preserve"> </w:t>
            </w:r>
            <w:r w:rsidR="008274B3">
              <w:rPr>
                <w:rFonts w:asciiTheme="minorHAnsi" w:hAnsiTheme="minorHAnsi"/>
                <w:sz w:val="22"/>
                <w:szCs w:val="22"/>
              </w:rPr>
              <w:t xml:space="preserve">aby </w:t>
            </w:r>
            <w:r w:rsidRPr="00851A97">
              <w:rPr>
                <w:rFonts w:asciiTheme="minorHAnsi" w:hAnsiTheme="minorHAnsi"/>
                <w:sz w:val="22"/>
                <w:szCs w:val="22"/>
              </w:rPr>
              <w:t xml:space="preserve">byly zohledněny skutečné náklady vynaložené na poskytování přenosových, přepravních, distribučních a systémových služeb, </w:t>
            </w:r>
            <w:r w:rsidR="008274B3">
              <w:rPr>
                <w:rFonts w:asciiTheme="minorHAnsi" w:hAnsiTheme="minorHAnsi"/>
                <w:sz w:val="22"/>
                <w:szCs w:val="22"/>
              </w:rPr>
              <w:t xml:space="preserve">aby </w:t>
            </w:r>
            <w:r w:rsidRPr="00851A97">
              <w:rPr>
                <w:rFonts w:asciiTheme="minorHAnsi" w:hAnsiTheme="minorHAnsi"/>
                <w:sz w:val="22"/>
                <w:szCs w:val="22"/>
              </w:rPr>
              <w:t>nedocházelo k diskriminaci a křížovým dotacím</w:t>
            </w:r>
            <w:r w:rsidR="008274B3">
              <w:rPr>
                <w:rFonts w:asciiTheme="minorHAnsi" w:hAnsiTheme="minorHAnsi"/>
                <w:sz w:val="22"/>
                <w:szCs w:val="22"/>
              </w:rPr>
              <w:t xml:space="preserve"> a</w:t>
            </w:r>
            <w:r w:rsidRPr="00851A97">
              <w:rPr>
                <w:rFonts w:asciiTheme="minorHAnsi" w:hAnsiTheme="minorHAnsi"/>
                <w:sz w:val="22"/>
                <w:szCs w:val="22"/>
              </w:rPr>
              <w:t xml:space="preserve"> aby výsledné regulované ceny nevytvářely bariéry mezi obchodními zónami.</w:t>
            </w:r>
          </w:p>
        </w:tc>
      </w:tr>
    </w:tbl>
    <w:p w14:paraId="5301075A" w14:textId="257D5751" w:rsidR="00D1501A" w:rsidRDefault="00D1501A">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D1501A" w:rsidRPr="006B443D" w14:paraId="42FA1DB5" w14:textId="77777777" w:rsidTr="00710291">
        <w:tc>
          <w:tcPr>
            <w:tcW w:w="833" w:type="pct"/>
            <w:shd w:val="clear" w:color="auto" w:fill="DBE5F1" w:themeFill="accent1" w:themeFillTint="33"/>
            <w:vAlign w:val="center"/>
          </w:tcPr>
          <w:p w14:paraId="6983E368" w14:textId="77777777" w:rsidR="00D1501A" w:rsidRPr="006B443D" w:rsidRDefault="00D1501A" w:rsidP="002C5FC9">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03B7F336" w14:textId="77777777" w:rsidR="00D1501A" w:rsidRPr="006B443D" w:rsidRDefault="00CC7834" w:rsidP="002C5FC9">
            <w:pPr>
              <w:keepNext/>
              <w:spacing w:before="120" w:after="120"/>
              <w:jc w:val="both"/>
              <w:rPr>
                <w:rFonts w:asciiTheme="minorHAnsi" w:hAnsiTheme="minorHAnsi"/>
                <w:b/>
                <w:sz w:val="22"/>
                <w:szCs w:val="22"/>
              </w:rPr>
            </w:pPr>
            <w:r w:rsidRPr="00CC7834">
              <w:rPr>
                <w:rFonts w:asciiTheme="minorHAnsi" w:hAnsiTheme="minorHAnsi"/>
                <w:b/>
                <w:sz w:val="22"/>
                <w:szCs w:val="22"/>
              </w:rPr>
              <w:t>Regulace v oblasti hnědého uhlí</w:t>
            </w:r>
          </w:p>
        </w:tc>
      </w:tr>
      <w:tr w:rsidR="00D1501A" w:rsidRPr="006B443D" w14:paraId="0C2EE580" w14:textId="77777777" w:rsidTr="00710291">
        <w:tc>
          <w:tcPr>
            <w:tcW w:w="833" w:type="pct"/>
            <w:vAlign w:val="center"/>
          </w:tcPr>
          <w:p w14:paraId="10528059"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481296C5" w14:textId="0E874169" w:rsidR="00D1501A" w:rsidRPr="006B443D" w:rsidRDefault="00CC7834" w:rsidP="007D28DC">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CC7834">
              <w:rPr>
                <w:rFonts w:asciiTheme="minorHAnsi" w:hAnsiTheme="minorHAnsi"/>
                <w:sz w:val="22"/>
                <w:szCs w:val="22"/>
              </w:rPr>
              <w:t>Provést analýzu fungování trhu a konkurenčního prostředí v oblasti hnědého uhlí, zejména ve vztahu na dostupnost uhlí na trhu a ekonomickou oprávněnost tvorby cen, analýzu možností a dopadů případných regulačních nástrojů (věcné usměrňování cen, intervenční nákupy apod.). Předložit analýzu vládě ČR spolu s</w:t>
            </w:r>
            <w:r w:rsidR="007D28DC">
              <w:rPr>
                <w:rFonts w:asciiTheme="minorHAnsi" w:hAnsiTheme="minorHAnsi"/>
                <w:sz w:val="22"/>
                <w:szCs w:val="22"/>
              </w:rPr>
              <w:t> </w:t>
            </w:r>
            <w:r w:rsidRPr="00CC7834">
              <w:rPr>
                <w:rFonts w:asciiTheme="minorHAnsi" w:hAnsiTheme="minorHAnsi"/>
                <w:sz w:val="22"/>
                <w:szCs w:val="22"/>
              </w:rPr>
              <w:t>doporučením v této oblasti.</w:t>
            </w:r>
          </w:p>
        </w:tc>
      </w:tr>
      <w:tr w:rsidR="00D1501A" w:rsidRPr="006B443D" w14:paraId="70FAA49A" w14:textId="77777777" w:rsidTr="00710291">
        <w:tc>
          <w:tcPr>
            <w:tcW w:w="833" w:type="pct"/>
            <w:vAlign w:val="center"/>
          </w:tcPr>
          <w:p w14:paraId="7E27227C"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3E62D7B9" w14:textId="77777777" w:rsidR="00D1501A" w:rsidRPr="006B443D" w:rsidRDefault="00CC7834" w:rsidP="00710291">
            <w:pPr>
              <w:spacing w:before="120" w:after="120"/>
              <w:jc w:val="both"/>
              <w:rPr>
                <w:rFonts w:asciiTheme="minorHAnsi" w:hAnsiTheme="minorHAnsi"/>
                <w:sz w:val="22"/>
                <w:szCs w:val="22"/>
              </w:rPr>
            </w:pPr>
            <w:r w:rsidRPr="00CC7834">
              <w:rPr>
                <w:rFonts w:asciiTheme="minorHAnsi" w:hAnsiTheme="minorHAnsi"/>
                <w:sz w:val="22"/>
                <w:szCs w:val="22"/>
              </w:rPr>
              <w:t>ÚOHS, v součinnosti s MPO, MF, ERÚ</w:t>
            </w:r>
          </w:p>
        </w:tc>
      </w:tr>
      <w:tr w:rsidR="00D1501A" w:rsidRPr="006B443D" w14:paraId="47608849" w14:textId="77777777" w:rsidTr="00710291">
        <w:tc>
          <w:tcPr>
            <w:tcW w:w="833" w:type="pct"/>
            <w:vAlign w:val="center"/>
          </w:tcPr>
          <w:p w14:paraId="5A89A453"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6D71F212" w14:textId="77777777" w:rsidR="00D1501A" w:rsidRPr="006B443D" w:rsidRDefault="00CC7834" w:rsidP="00710291">
            <w:pPr>
              <w:spacing w:before="120" w:after="120"/>
              <w:jc w:val="both"/>
              <w:rPr>
                <w:rFonts w:asciiTheme="minorHAnsi" w:hAnsiTheme="minorHAnsi"/>
                <w:sz w:val="22"/>
                <w:szCs w:val="22"/>
              </w:rPr>
            </w:pPr>
            <w:r>
              <w:rPr>
                <w:rFonts w:asciiTheme="minorHAnsi" w:hAnsiTheme="minorHAnsi"/>
                <w:sz w:val="22"/>
                <w:szCs w:val="22"/>
              </w:rPr>
              <w:t>31. 12. 2015</w:t>
            </w:r>
          </w:p>
        </w:tc>
      </w:tr>
      <w:tr w:rsidR="00D1501A" w:rsidRPr="006B443D" w14:paraId="0440EE30" w14:textId="77777777" w:rsidTr="00710291">
        <w:tc>
          <w:tcPr>
            <w:tcW w:w="833" w:type="pct"/>
            <w:vAlign w:val="center"/>
          </w:tcPr>
          <w:p w14:paraId="5D593A26"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65AC98C4" w14:textId="21A45753" w:rsidR="00A91BF0" w:rsidRPr="00EB2CE1" w:rsidRDefault="004F36EF" w:rsidP="00EB2CE1">
            <w:pPr>
              <w:overflowPunct w:val="0"/>
              <w:autoSpaceDE w:val="0"/>
              <w:autoSpaceDN w:val="0"/>
              <w:adjustRightInd w:val="0"/>
              <w:spacing w:before="120" w:after="120"/>
              <w:jc w:val="both"/>
              <w:textAlignment w:val="baseline"/>
              <w:rPr>
                <w:rFonts w:asciiTheme="minorHAnsi" w:hAnsiTheme="minorHAnsi"/>
                <w:sz w:val="22"/>
                <w:szCs w:val="22"/>
              </w:rPr>
            </w:pPr>
            <w:r w:rsidRPr="00EB2CE1">
              <w:rPr>
                <w:rFonts w:asciiTheme="minorHAnsi" w:hAnsiTheme="minorHAnsi"/>
                <w:b/>
                <w:sz w:val="22"/>
                <w:szCs w:val="22"/>
              </w:rPr>
              <w:t>Splněno</w:t>
            </w:r>
          </w:p>
          <w:p w14:paraId="264A07BD" w14:textId="70867165" w:rsidR="00CC7834" w:rsidRPr="00CB16FC" w:rsidRDefault="00CC7834" w:rsidP="00CC7834">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CB16FC">
              <w:rPr>
                <w:rFonts w:asciiTheme="minorHAnsi" w:hAnsiTheme="minorHAnsi"/>
                <w:sz w:val="22"/>
                <w:szCs w:val="22"/>
              </w:rPr>
              <w:t>Ze strany ÚOHS byl připraven materiál "Analýza fungování trhu a konkurenčního prostředí v oblasti hnědého uhlí", který byl dne 23. prosince 2015 odeslán na Úřad vlády ČR a předložen pro informaci vládě ČR. Materiál byl z jednání vlády stažen s požadavkem vložit jej do meziresortního připomínkového řízení, které se následně uskutečnilo ve dnech 29. ledna až 12. února 2016. V jeho rámci byly uplatněny připomínky ze strany pěti připomínkových míst</w:t>
            </w:r>
            <w:r w:rsidR="008067F3" w:rsidRPr="00CB16FC">
              <w:rPr>
                <w:rFonts w:asciiTheme="minorHAnsi" w:hAnsiTheme="minorHAnsi"/>
                <w:sz w:val="22"/>
                <w:szCs w:val="22"/>
              </w:rPr>
              <w:t>, přičemž</w:t>
            </w:r>
            <w:r w:rsidRPr="00CB16FC">
              <w:rPr>
                <w:rFonts w:asciiTheme="minorHAnsi" w:hAnsiTheme="minorHAnsi"/>
                <w:sz w:val="22"/>
                <w:szCs w:val="22"/>
              </w:rPr>
              <w:t xml:space="preserve"> projednání připomínek proběhlo v termínech 26. února až 4. března 2016. V materiálu byly zohledněny doporučující i zásadní připomínky a materiál byl předložen vládě ČR bez rozporů. Na jednání vlády dne 30. března 2016 byl materiál opět stažen k</w:t>
            </w:r>
            <w:r w:rsidR="007D28DC" w:rsidRPr="00CB16FC">
              <w:rPr>
                <w:rFonts w:asciiTheme="minorHAnsi" w:hAnsiTheme="minorHAnsi"/>
                <w:sz w:val="22"/>
                <w:szCs w:val="22"/>
              </w:rPr>
              <w:t> </w:t>
            </w:r>
            <w:r w:rsidRPr="00CB16FC">
              <w:rPr>
                <w:rFonts w:asciiTheme="minorHAnsi" w:hAnsiTheme="minorHAnsi"/>
                <w:sz w:val="22"/>
                <w:szCs w:val="22"/>
              </w:rPr>
              <w:t>dopracování ve spolupráci s poradci předsedy vlády. Výsledný materiál byl následně zařazen na jednání vlády dne 27. dubna 2016 v sekci D různé. ÚOHS tímto považuje úkol za splněný.</w:t>
            </w:r>
          </w:p>
          <w:p w14:paraId="1D1D0B06" w14:textId="768FE060" w:rsidR="00D1501A" w:rsidRDefault="00CC7834" w:rsidP="003B7702">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CB16FC">
              <w:rPr>
                <w:rFonts w:asciiTheme="minorHAnsi" w:hAnsiTheme="minorHAnsi"/>
                <w:sz w:val="22"/>
                <w:szCs w:val="22"/>
              </w:rPr>
              <w:t>Ze strany MPO byly ÚOHS poskytnuty požadované analýzy zpracované v</w:t>
            </w:r>
            <w:r w:rsidR="007D28DC" w:rsidRPr="00CB16FC">
              <w:rPr>
                <w:rFonts w:asciiTheme="minorHAnsi" w:hAnsiTheme="minorHAnsi"/>
                <w:sz w:val="22"/>
                <w:szCs w:val="22"/>
              </w:rPr>
              <w:t> </w:t>
            </w:r>
            <w:r w:rsidRPr="00CB16FC">
              <w:rPr>
                <w:rFonts w:asciiTheme="minorHAnsi" w:hAnsiTheme="minorHAnsi"/>
                <w:sz w:val="22"/>
                <w:szCs w:val="22"/>
              </w:rPr>
              <w:t>minulosti pro účely řešení problematiky územně ekologických limitů těžby hnědého uhlí, nebylo však osloveno k užší spolupráci na přípravě tohoto materiálu a účastnilo se až ve fázi připomínkování dokumentu. V tomto ohledu byla k výslednému materiálu vznesena řada zásadních připomínek, směřujících zejména k nutnosti rozpracovat závěry předloženého dokumentu. Z pohledu MPO nebyly tyto připomínky uspokojivě zapracovány.</w:t>
            </w:r>
          </w:p>
          <w:p w14:paraId="0117AC7D" w14:textId="2E40E0D1" w:rsidR="00CB16FC" w:rsidRPr="00CB16FC" w:rsidRDefault="003B7702" w:rsidP="008C7C58">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Vzhledem k tomu, že vláda ČR nevznesla k materiálu žádné požadavky na jeho další dopracování, je možné považovat úkol za splněný. Nicméně, v návaznosti na doporučení formulovaná v jeho závěrech je</w:t>
            </w:r>
            <w:r w:rsidRPr="00CB16FC">
              <w:rPr>
                <w:rFonts w:asciiTheme="minorHAnsi" w:hAnsiTheme="minorHAnsi"/>
                <w:sz w:val="22"/>
                <w:szCs w:val="22"/>
              </w:rPr>
              <w:t xml:space="preserve"> účelné</w:t>
            </w:r>
            <w:r>
              <w:rPr>
                <w:rFonts w:asciiTheme="minorHAnsi" w:hAnsiTheme="minorHAnsi"/>
                <w:sz w:val="22"/>
                <w:szCs w:val="22"/>
              </w:rPr>
              <w:t xml:space="preserve"> dále</w:t>
            </w:r>
            <w:r w:rsidRPr="00CB16FC">
              <w:rPr>
                <w:rFonts w:asciiTheme="minorHAnsi" w:hAnsiTheme="minorHAnsi"/>
                <w:sz w:val="22"/>
                <w:szCs w:val="22"/>
              </w:rPr>
              <w:t xml:space="preserve"> diskutovat potřebu zpracování </w:t>
            </w:r>
            <w:r>
              <w:rPr>
                <w:rFonts w:asciiTheme="minorHAnsi" w:hAnsiTheme="minorHAnsi"/>
                <w:sz w:val="22"/>
                <w:szCs w:val="22"/>
              </w:rPr>
              <w:t>podrobné</w:t>
            </w:r>
            <w:r w:rsidRPr="00CB16FC">
              <w:rPr>
                <w:rFonts w:asciiTheme="minorHAnsi" w:hAnsiTheme="minorHAnsi"/>
                <w:sz w:val="22"/>
                <w:szCs w:val="22"/>
              </w:rPr>
              <w:t xml:space="preserve"> analýzy</w:t>
            </w:r>
            <w:r>
              <w:rPr>
                <w:rFonts w:asciiTheme="minorHAnsi" w:hAnsiTheme="minorHAnsi"/>
                <w:sz w:val="22"/>
                <w:szCs w:val="22"/>
              </w:rPr>
              <w:t xml:space="preserve"> v souladu s těmito závěry</w:t>
            </w:r>
            <w:r w:rsidRPr="00CB16FC">
              <w:rPr>
                <w:rFonts w:asciiTheme="minorHAnsi" w:hAnsiTheme="minorHAnsi"/>
                <w:sz w:val="22"/>
                <w:szCs w:val="22"/>
              </w:rPr>
              <w:t xml:space="preserve"> a případně </w:t>
            </w:r>
            <w:r w:rsidR="008C7C58">
              <w:rPr>
                <w:rFonts w:asciiTheme="minorHAnsi" w:hAnsiTheme="minorHAnsi"/>
                <w:sz w:val="22"/>
                <w:szCs w:val="22"/>
              </w:rPr>
              <w:t>také tuto potřebu</w:t>
            </w:r>
            <w:r w:rsidRPr="00CB16FC">
              <w:rPr>
                <w:rFonts w:asciiTheme="minorHAnsi" w:hAnsiTheme="minorHAnsi"/>
                <w:sz w:val="22"/>
                <w:szCs w:val="22"/>
              </w:rPr>
              <w:t xml:space="preserve"> ukotvit v rámci relevantních strategických </w:t>
            </w:r>
            <w:r w:rsidR="008C7C58">
              <w:rPr>
                <w:rFonts w:asciiTheme="minorHAnsi" w:hAnsiTheme="minorHAnsi"/>
                <w:sz w:val="22"/>
                <w:szCs w:val="22"/>
              </w:rPr>
              <w:t>dokumentů</w:t>
            </w:r>
            <w:r w:rsidRPr="00CB16FC">
              <w:rPr>
                <w:rFonts w:asciiTheme="minorHAnsi" w:hAnsiTheme="minorHAnsi"/>
                <w:sz w:val="22"/>
                <w:szCs w:val="22"/>
              </w:rPr>
              <w:t>.</w:t>
            </w:r>
          </w:p>
        </w:tc>
      </w:tr>
    </w:tbl>
    <w:p w14:paraId="49FE5272" w14:textId="77777777" w:rsidR="00D1501A" w:rsidRDefault="00D1501A">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D1501A" w:rsidRPr="006B443D" w14:paraId="09AF68D2" w14:textId="77777777" w:rsidTr="00710291">
        <w:tc>
          <w:tcPr>
            <w:tcW w:w="833" w:type="pct"/>
            <w:shd w:val="clear" w:color="auto" w:fill="DBE5F1" w:themeFill="accent1" w:themeFillTint="33"/>
            <w:vAlign w:val="center"/>
          </w:tcPr>
          <w:p w14:paraId="3CADCECA" w14:textId="77777777" w:rsidR="00D1501A" w:rsidRPr="006B443D" w:rsidRDefault="00D1501A" w:rsidP="002C5FC9">
            <w:pPr>
              <w:keepNext/>
              <w:jc w:val="center"/>
              <w:rPr>
                <w:rFonts w:asciiTheme="minorHAnsi" w:hAnsiTheme="minorHAnsi"/>
                <w:b/>
                <w:sz w:val="22"/>
                <w:szCs w:val="22"/>
              </w:rPr>
            </w:pPr>
            <w:r w:rsidRPr="006B443D">
              <w:rPr>
                <w:rFonts w:asciiTheme="minorHAnsi" w:hAnsiTheme="minorHAnsi"/>
                <w:b/>
                <w:sz w:val="22"/>
                <w:szCs w:val="22"/>
              </w:rPr>
              <w:lastRenderedPageBreak/>
              <w:t>Nástroj</w:t>
            </w:r>
          </w:p>
        </w:tc>
        <w:tc>
          <w:tcPr>
            <w:tcW w:w="4167" w:type="pct"/>
            <w:shd w:val="clear" w:color="auto" w:fill="DBE5F1" w:themeFill="accent1" w:themeFillTint="33"/>
            <w:vAlign w:val="center"/>
          </w:tcPr>
          <w:p w14:paraId="72E30122" w14:textId="77777777" w:rsidR="00D1501A" w:rsidRPr="006B443D" w:rsidRDefault="008067F3" w:rsidP="002C5FC9">
            <w:pPr>
              <w:keepNext/>
              <w:spacing w:before="120" w:after="120"/>
              <w:jc w:val="both"/>
              <w:rPr>
                <w:rFonts w:asciiTheme="minorHAnsi" w:hAnsiTheme="minorHAnsi"/>
                <w:b/>
                <w:sz w:val="22"/>
                <w:szCs w:val="22"/>
              </w:rPr>
            </w:pPr>
            <w:r w:rsidRPr="008067F3">
              <w:rPr>
                <w:rFonts w:asciiTheme="minorHAnsi" w:hAnsiTheme="minorHAnsi"/>
                <w:b/>
                <w:sz w:val="22"/>
                <w:szCs w:val="22"/>
              </w:rPr>
              <w:t>Koncepční práce (politiky, analýzy)</w:t>
            </w:r>
          </w:p>
        </w:tc>
      </w:tr>
      <w:tr w:rsidR="00D1501A" w:rsidRPr="006B443D" w14:paraId="64149ECB" w14:textId="77777777" w:rsidTr="002C5FC9">
        <w:trPr>
          <w:cantSplit/>
        </w:trPr>
        <w:tc>
          <w:tcPr>
            <w:tcW w:w="833" w:type="pct"/>
            <w:vAlign w:val="center"/>
          </w:tcPr>
          <w:p w14:paraId="2954F052"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3A943DD3" w14:textId="77777777" w:rsidR="00D1501A" w:rsidRPr="006B443D" w:rsidRDefault="008067F3" w:rsidP="008067F3">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8067F3">
              <w:rPr>
                <w:rFonts w:asciiTheme="minorHAnsi" w:hAnsiTheme="minorHAnsi"/>
                <w:sz w:val="22"/>
                <w:szCs w:val="22"/>
              </w:rPr>
              <w:t>Podpora ustavení stálého multioborového odborného týmu – „</w:t>
            </w:r>
            <w:proofErr w:type="spellStart"/>
            <w:r w:rsidRPr="008067F3">
              <w:rPr>
                <w:rFonts w:asciiTheme="minorHAnsi" w:hAnsiTheme="minorHAnsi"/>
                <w:sz w:val="22"/>
                <w:szCs w:val="22"/>
              </w:rPr>
              <w:t>think</w:t>
            </w:r>
            <w:proofErr w:type="spellEnd"/>
            <w:r w:rsidRPr="008067F3">
              <w:rPr>
                <w:rFonts w:asciiTheme="minorHAnsi" w:hAnsiTheme="minorHAnsi"/>
                <w:sz w:val="22"/>
                <w:szCs w:val="22"/>
              </w:rPr>
              <w:t xml:space="preserve"> tank“ (ve spolupráci s MŠMT a AV ČR), který se bude zabývat diskusí a vyhodnocováním zpracovaných analýz a statistik trendů vývoje energetiky, a dále formulovat doporučení pro vyhodnocování a aktualizaci Státní energetické koncepce, formulaci energetické politiky a uplatnění nástrojů realizace SEK.</w:t>
            </w:r>
          </w:p>
        </w:tc>
      </w:tr>
      <w:tr w:rsidR="00D1501A" w:rsidRPr="006B443D" w14:paraId="74DD8BC2" w14:textId="77777777" w:rsidTr="00710291">
        <w:tc>
          <w:tcPr>
            <w:tcW w:w="833" w:type="pct"/>
            <w:vAlign w:val="center"/>
          </w:tcPr>
          <w:p w14:paraId="061CB51B"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165C7ABE" w14:textId="77777777" w:rsidR="00D1501A" w:rsidRPr="006B443D" w:rsidRDefault="008067F3" w:rsidP="00710291">
            <w:pPr>
              <w:spacing w:before="120" w:after="120"/>
              <w:jc w:val="both"/>
              <w:rPr>
                <w:rFonts w:asciiTheme="minorHAnsi" w:hAnsiTheme="minorHAnsi"/>
                <w:sz w:val="22"/>
                <w:szCs w:val="22"/>
              </w:rPr>
            </w:pPr>
            <w:r w:rsidRPr="008067F3">
              <w:rPr>
                <w:rFonts w:asciiTheme="minorHAnsi" w:hAnsiTheme="minorHAnsi"/>
                <w:sz w:val="22"/>
                <w:szCs w:val="22"/>
              </w:rPr>
              <w:t xml:space="preserve">MPO, MV, MŠMT, </w:t>
            </w:r>
            <w:proofErr w:type="spellStart"/>
            <w:r w:rsidRPr="008067F3">
              <w:rPr>
                <w:rFonts w:asciiTheme="minorHAnsi" w:hAnsiTheme="minorHAnsi"/>
                <w:sz w:val="22"/>
                <w:szCs w:val="22"/>
              </w:rPr>
              <w:t>MZe</w:t>
            </w:r>
            <w:proofErr w:type="spellEnd"/>
            <w:r w:rsidRPr="008067F3">
              <w:rPr>
                <w:rFonts w:asciiTheme="minorHAnsi" w:hAnsiTheme="minorHAnsi"/>
                <w:sz w:val="22"/>
                <w:szCs w:val="22"/>
              </w:rPr>
              <w:t>, MŽP</w:t>
            </w:r>
          </w:p>
        </w:tc>
      </w:tr>
      <w:tr w:rsidR="00D1501A" w:rsidRPr="006B443D" w14:paraId="349B07F0" w14:textId="77777777" w:rsidTr="00710291">
        <w:tc>
          <w:tcPr>
            <w:tcW w:w="833" w:type="pct"/>
            <w:vAlign w:val="center"/>
          </w:tcPr>
          <w:p w14:paraId="72478F47"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3E509619" w14:textId="77777777" w:rsidR="00D1501A" w:rsidRPr="006B443D" w:rsidRDefault="008067F3" w:rsidP="00710291">
            <w:pPr>
              <w:spacing w:before="120" w:after="120"/>
              <w:jc w:val="both"/>
              <w:rPr>
                <w:rFonts w:asciiTheme="minorHAnsi" w:hAnsiTheme="minorHAnsi"/>
                <w:sz w:val="22"/>
                <w:szCs w:val="22"/>
              </w:rPr>
            </w:pPr>
            <w:r>
              <w:rPr>
                <w:rFonts w:asciiTheme="minorHAnsi" w:hAnsiTheme="minorHAnsi"/>
                <w:sz w:val="22"/>
                <w:szCs w:val="22"/>
              </w:rPr>
              <w:t>31. 12. 2015</w:t>
            </w:r>
          </w:p>
        </w:tc>
      </w:tr>
      <w:tr w:rsidR="00D1501A" w:rsidRPr="006B443D" w14:paraId="3F02B792" w14:textId="77777777" w:rsidTr="00710291">
        <w:tc>
          <w:tcPr>
            <w:tcW w:w="833" w:type="pct"/>
            <w:vAlign w:val="center"/>
          </w:tcPr>
          <w:p w14:paraId="3A8C4746"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32970E0A" w14:textId="77777777" w:rsidR="008067F3" w:rsidRPr="008067F3" w:rsidRDefault="008067F3" w:rsidP="008067F3">
            <w:pPr>
              <w:overflowPunct w:val="0"/>
              <w:autoSpaceDE w:val="0"/>
              <w:autoSpaceDN w:val="0"/>
              <w:adjustRightInd w:val="0"/>
              <w:spacing w:before="120" w:after="120"/>
              <w:jc w:val="both"/>
              <w:textAlignment w:val="baseline"/>
              <w:rPr>
                <w:rFonts w:asciiTheme="minorHAnsi" w:hAnsiTheme="minorHAnsi"/>
                <w:b/>
                <w:sz w:val="22"/>
                <w:szCs w:val="22"/>
              </w:rPr>
            </w:pPr>
            <w:r w:rsidRPr="008067F3">
              <w:rPr>
                <w:rFonts w:asciiTheme="minorHAnsi" w:hAnsiTheme="minorHAnsi"/>
                <w:b/>
                <w:sz w:val="22"/>
                <w:szCs w:val="22"/>
              </w:rPr>
              <w:t>Splněno jiným způsobem</w:t>
            </w:r>
          </w:p>
          <w:p w14:paraId="680265A7" w14:textId="1F76928A" w:rsidR="00D1501A" w:rsidRPr="00D1501A" w:rsidRDefault="008067F3" w:rsidP="00A31D9C">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8067F3">
              <w:rPr>
                <w:rFonts w:asciiTheme="minorHAnsi" w:hAnsiTheme="minorHAnsi"/>
                <w:sz w:val="22"/>
                <w:szCs w:val="22"/>
              </w:rPr>
              <w:t>Vzhledem k tomu, že vznik multioborového odborného týmu by znamenal zdvojení některých činností Rady vlády pro energetickou a surovinovou strategii byl tento nástroj splněn posílením odborného zastoupení v rámci této rady vlády a jejích pracovních skupin</w:t>
            </w:r>
            <w:r w:rsidR="00A31D9C">
              <w:rPr>
                <w:rFonts w:asciiTheme="minorHAnsi" w:hAnsiTheme="minorHAnsi"/>
                <w:sz w:val="22"/>
                <w:szCs w:val="22"/>
              </w:rPr>
              <w:t>, jejichž s</w:t>
            </w:r>
            <w:r w:rsidRPr="008067F3">
              <w:rPr>
                <w:rFonts w:asciiTheme="minorHAnsi" w:hAnsiTheme="minorHAnsi"/>
                <w:sz w:val="22"/>
                <w:szCs w:val="22"/>
              </w:rPr>
              <w:t>ložení bude vyhodnocováno tak, aby odpovídalo multioborovému odbornému týmu.</w:t>
            </w:r>
          </w:p>
        </w:tc>
      </w:tr>
    </w:tbl>
    <w:p w14:paraId="66493833" w14:textId="77777777" w:rsidR="00D1501A" w:rsidRDefault="00D1501A">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D1501A" w:rsidRPr="006B443D" w14:paraId="6263C747" w14:textId="77777777" w:rsidTr="00710291">
        <w:tc>
          <w:tcPr>
            <w:tcW w:w="833" w:type="pct"/>
            <w:shd w:val="clear" w:color="auto" w:fill="DBE5F1" w:themeFill="accent1" w:themeFillTint="33"/>
            <w:vAlign w:val="center"/>
          </w:tcPr>
          <w:p w14:paraId="21FDE667" w14:textId="77777777" w:rsidR="00D1501A" w:rsidRPr="006B443D" w:rsidRDefault="00D1501A" w:rsidP="002C5FC9">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247CCA26" w14:textId="77777777" w:rsidR="00D1501A" w:rsidRPr="006B443D" w:rsidRDefault="008067F3" w:rsidP="002C5FC9">
            <w:pPr>
              <w:keepNext/>
              <w:spacing w:before="120" w:after="120"/>
              <w:jc w:val="both"/>
              <w:rPr>
                <w:rFonts w:asciiTheme="minorHAnsi" w:hAnsiTheme="minorHAnsi"/>
                <w:b/>
                <w:sz w:val="22"/>
                <w:szCs w:val="22"/>
              </w:rPr>
            </w:pPr>
            <w:r w:rsidRPr="008067F3">
              <w:rPr>
                <w:rFonts w:asciiTheme="minorHAnsi" w:hAnsiTheme="minorHAnsi"/>
                <w:b/>
                <w:sz w:val="22"/>
                <w:szCs w:val="22"/>
              </w:rPr>
              <w:t>Provádět periodické vyhodnocení naplňování Státní energetické koncepce</w:t>
            </w:r>
          </w:p>
        </w:tc>
      </w:tr>
      <w:tr w:rsidR="00D1501A" w:rsidRPr="006B443D" w14:paraId="65F7F87A" w14:textId="77777777" w:rsidTr="00710291">
        <w:tc>
          <w:tcPr>
            <w:tcW w:w="833" w:type="pct"/>
            <w:vAlign w:val="center"/>
          </w:tcPr>
          <w:p w14:paraId="28E0E6D4"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57042C67" w14:textId="77777777" w:rsidR="008067F3" w:rsidRPr="008067F3" w:rsidRDefault="008067F3" w:rsidP="008067F3">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8067F3">
              <w:rPr>
                <w:rFonts w:asciiTheme="minorHAnsi" w:hAnsiTheme="minorHAnsi"/>
                <w:sz w:val="22"/>
                <w:szCs w:val="22"/>
              </w:rPr>
              <w:t>Vyhodnocování dopadů nástrojů realizace SEK na podnikatelské prostředí, veřejný sektor a domácnosti.</w:t>
            </w:r>
          </w:p>
          <w:p w14:paraId="56286001" w14:textId="77777777" w:rsidR="00D1501A" w:rsidRPr="006B443D" w:rsidRDefault="008067F3" w:rsidP="008067F3">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8067F3">
              <w:rPr>
                <w:rFonts w:asciiTheme="minorHAnsi" w:hAnsiTheme="minorHAnsi"/>
                <w:sz w:val="22"/>
                <w:szCs w:val="22"/>
              </w:rPr>
              <w:t>Zpracovat a podat zprávu vládě ČR o vývoji energetiky a naplňování SEK, včetně případného doporučení k aktualizaci nástrojů.</w:t>
            </w:r>
          </w:p>
        </w:tc>
      </w:tr>
      <w:tr w:rsidR="00D1501A" w:rsidRPr="006B443D" w14:paraId="629EBE63" w14:textId="77777777" w:rsidTr="00710291">
        <w:tc>
          <w:tcPr>
            <w:tcW w:w="833" w:type="pct"/>
            <w:vAlign w:val="center"/>
          </w:tcPr>
          <w:p w14:paraId="750452A8"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41E3FE47" w14:textId="77777777" w:rsidR="00D1501A" w:rsidRPr="006B443D" w:rsidRDefault="008067F3" w:rsidP="00710291">
            <w:pPr>
              <w:spacing w:before="120" w:after="120"/>
              <w:jc w:val="both"/>
              <w:rPr>
                <w:rFonts w:asciiTheme="minorHAnsi" w:hAnsiTheme="minorHAnsi"/>
                <w:sz w:val="22"/>
                <w:szCs w:val="22"/>
              </w:rPr>
            </w:pPr>
            <w:r>
              <w:rPr>
                <w:rFonts w:asciiTheme="minorHAnsi" w:hAnsiTheme="minorHAnsi"/>
                <w:sz w:val="22"/>
                <w:szCs w:val="22"/>
              </w:rPr>
              <w:t>MPO</w:t>
            </w:r>
          </w:p>
        </w:tc>
      </w:tr>
      <w:tr w:rsidR="00D1501A" w:rsidRPr="006B443D" w14:paraId="3BC5AFA5" w14:textId="77777777" w:rsidTr="00710291">
        <w:tc>
          <w:tcPr>
            <w:tcW w:w="833" w:type="pct"/>
            <w:vAlign w:val="center"/>
          </w:tcPr>
          <w:p w14:paraId="7EFAB893"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7387CCB8" w14:textId="77777777" w:rsidR="00D1501A" w:rsidRPr="006B443D" w:rsidRDefault="008067F3" w:rsidP="00710291">
            <w:pPr>
              <w:spacing w:before="120" w:after="120"/>
              <w:jc w:val="both"/>
              <w:rPr>
                <w:rFonts w:asciiTheme="minorHAnsi" w:hAnsiTheme="minorHAnsi"/>
                <w:sz w:val="22"/>
                <w:szCs w:val="22"/>
              </w:rPr>
            </w:pPr>
            <w:r w:rsidRPr="008067F3">
              <w:rPr>
                <w:rFonts w:asciiTheme="minorHAnsi" w:hAnsiTheme="minorHAnsi"/>
                <w:sz w:val="22"/>
                <w:szCs w:val="22"/>
              </w:rPr>
              <w:t>nejpozději do 31. 12. 2019</w:t>
            </w:r>
          </w:p>
        </w:tc>
      </w:tr>
      <w:tr w:rsidR="00D1501A" w:rsidRPr="006B443D" w14:paraId="35F916BA" w14:textId="77777777" w:rsidTr="00710291">
        <w:tc>
          <w:tcPr>
            <w:tcW w:w="833" w:type="pct"/>
            <w:vAlign w:val="center"/>
          </w:tcPr>
          <w:p w14:paraId="29F03013"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7E71084A" w14:textId="77777777" w:rsidR="008067F3" w:rsidRPr="008067F3" w:rsidRDefault="008067F3" w:rsidP="008067F3">
            <w:pPr>
              <w:overflowPunct w:val="0"/>
              <w:autoSpaceDE w:val="0"/>
              <w:autoSpaceDN w:val="0"/>
              <w:adjustRightInd w:val="0"/>
              <w:spacing w:before="120" w:after="120"/>
              <w:jc w:val="both"/>
              <w:textAlignment w:val="baseline"/>
              <w:rPr>
                <w:rFonts w:asciiTheme="minorHAnsi" w:hAnsiTheme="minorHAnsi"/>
                <w:b/>
                <w:sz w:val="22"/>
                <w:szCs w:val="22"/>
              </w:rPr>
            </w:pPr>
            <w:r w:rsidRPr="008067F3">
              <w:rPr>
                <w:rFonts w:asciiTheme="minorHAnsi" w:hAnsiTheme="minorHAnsi"/>
                <w:b/>
                <w:sz w:val="22"/>
                <w:szCs w:val="22"/>
              </w:rPr>
              <w:t>Bude splněno ve stanoveném termínu</w:t>
            </w:r>
          </w:p>
          <w:p w14:paraId="5157F259" w14:textId="3129BAC5" w:rsidR="00D1501A" w:rsidRPr="00D1501A" w:rsidRDefault="008067F3" w:rsidP="007D28DC">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8067F3">
              <w:rPr>
                <w:rFonts w:asciiTheme="minorHAnsi" w:hAnsiTheme="minorHAnsi"/>
                <w:sz w:val="22"/>
                <w:szCs w:val="22"/>
              </w:rPr>
              <w:t xml:space="preserve">Vyhodnocení naplňování SEK proběhne </w:t>
            </w:r>
            <w:r>
              <w:rPr>
                <w:rFonts w:asciiTheme="minorHAnsi" w:hAnsiTheme="minorHAnsi"/>
                <w:sz w:val="22"/>
                <w:szCs w:val="22"/>
              </w:rPr>
              <w:t>v souladu se</w:t>
            </w:r>
            <w:r w:rsidRPr="008067F3">
              <w:rPr>
                <w:rFonts w:asciiTheme="minorHAnsi" w:hAnsiTheme="minorHAnsi"/>
                <w:sz w:val="22"/>
                <w:szCs w:val="22"/>
              </w:rPr>
              <w:t xml:space="preserve"> zákon</w:t>
            </w:r>
            <w:r>
              <w:rPr>
                <w:rFonts w:asciiTheme="minorHAnsi" w:hAnsiTheme="minorHAnsi"/>
                <w:sz w:val="22"/>
                <w:szCs w:val="22"/>
              </w:rPr>
              <w:t>em</w:t>
            </w:r>
            <w:r w:rsidRPr="008067F3">
              <w:rPr>
                <w:rFonts w:asciiTheme="minorHAnsi" w:hAnsiTheme="minorHAnsi"/>
                <w:sz w:val="22"/>
                <w:szCs w:val="22"/>
              </w:rPr>
              <w:t xml:space="preserve"> č. 406/2000 Sb., o</w:t>
            </w:r>
            <w:r w:rsidR="007D28DC">
              <w:rPr>
                <w:rFonts w:asciiTheme="minorHAnsi" w:hAnsiTheme="minorHAnsi"/>
                <w:sz w:val="22"/>
                <w:szCs w:val="22"/>
              </w:rPr>
              <w:t> </w:t>
            </w:r>
            <w:r w:rsidRPr="008067F3">
              <w:rPr>
                <w:rFonts w:asciiTheme="minorHAnsi" w:hAnsiTheme="minorHAnsi"/>
                <w:sz w:val="22"/>
                <w:szCs w:val="22"/>
              </w:rPr>
              <w:t>hospodaření energií, ve znění pozdějších předpisů.</w:t>
            </w:r>
          </w:p>
        </w:tc>
      </w:tr>
    </w:tbl>
    <w:p w14:paraId="2FE9A19B" w14:textId="77777777" w:rsidR="00D1501A" w:rsidRDefault="00D1501A">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D1501A" w:rsidRPr="006B443D" w14:paraId="34D3ADA6" w14:textId="77777777" w:rsidTr="00710291">
        <w:tc>
          <w:tcPr>
            <w:tcW w:w="833" w:type="pct"/>
            <w:shd w:val="clear" w:color="auto" w:fill="DBE5F1" w:themeFill="accent1" w:themeFillTint="33"/>
            <w:vAlign w:val="center"/>
          </w:tcPr>
          <w:p w14:paraId="30E98E74" w14:textId="77777777" w:rsidR="00D1501A" w:rsidRPr="006B443D" w:rsidRDefault="00D1501A" w:rsidP="00A12E55">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0B0AB523" w14:textId="77777777" w:rsidR="00D1501A" w:rsidRPr="006B443D" w:rsidRDefault="008067F3" w:rsidP="00A12E55">
            <w:pPr>
              <w:keepNext/>
              <w:spacing w:before="120" w:after="120"/>
              <w:jc w:val="both"/>
              <w:rPr>
                <w:rFonts w:asciiTheme="minorHAnsi" w:hAnsiTheme="minorHAnsi"/>
                <w:b/>
                <w:sz w:val="22"/>
                <w:szCs w:val="22"/>
              </w:rPr>
            </w:pPr>
            <w:r w:rsidRPr="008067F3">
              <w:rPr>
                <w:rFonts w:asciiTheme="minorHAnsi" w:hAnsiTheme="minorHAnsi"/>
                <w:b/>
                <w:sz w:val="22"/>
                <w:szCs w:val="22"/>
              </w:rPr>
              <w:t>Každoročně zpracovávat a zveřejňovat zprávu o vývoji energetiky (elektřina, plyn, ropa, teplo)</w:t>
            </w:r>
          </w:p>
        </w:tc>
      </w:tr>
      <w:tr w:rsidR="00D1501A" w:rsidRPr="006B443D" w14:paraId="4BA1D48D" w14:textId="77777777" w:rsidTr="00710291">
        <w:tc>
          <w:tcPr>
            <w:tcW w:w="833" w:type="pct"/>
            <w:vAlign w:val="center"/>
          </w:tcPr>
          <w:p w14:paraId="37B97A0B" w14:textId="77777777" w:rsidR="00D1501A" w:rsidRPr="006B443D" w:rsidRDefault="00D1501A" w:rsidP="00A12E55">
            <w:pPr>
              <w:keepNext/>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618BCF70" w14:textId="7170B74C" w:rsidR="00D1501A" w:rsidRPr="006B443D" w:rsidRDefault="008067F3" w:rsidP="00A12E55">
            <w:pPr>
              <w:pStyle w:val="Odstavecseseznamem"/>
              <w:keepNext/>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8067F3">
              <w:rPr>
                <w:rFonts w:asciiTheme="minorHAnsi" w:hAnsiTheme="minorHAnsi"/>
                <w:sz w:val="22"/>
                <w:szCs w:val="22"/>
              </w:rPr>
              <w:t>Popis charakteristiky vývoje, hlavní trendy a jejich změny v uplynulém období a</w:t>
            </w:r>
            <w:r w:rsidR="007D28DC">
              <w:rPr>
                <w:rFonts w:asciiTheme="minorHAnsi" w:hAnsiTheme="minorHAnsi"/>
                <w:sz w:val="22"/>
                <w:szCs w:val="22"/>
              </w:rPr>
              <w:t> </w:t>
            </w:r>
            <w:r w:rsidRPr="008067F3">
              <w:rPr>
                <w:rFonts w:asciiTheme="minorHAnsi" w:hAnsiTheme="minorHAnsi"/>
                <w:sz w:val="22"/>
                <w:szCs w:val="22"/>
              </w:rPr>
              <w:t>očekávaný vývoj hlavních charakteristik (výroba, dodávky, spotřeba, zahraniční obchod, bezpečnost dodávek, ceny) na nejméně 15 let dopředu.</w:t>
            </w:r>
          </w:p>
        </w:tc>
      </w:tr>
      <w:tr w:rsidR="00D1501A" w:rsidRPr="006B443D" w14:paraId="668CCC99" w14:textId="77777777" w:rsidTr="00710291">
        <w:tc>
          <w:tcPr>
            <w:tcW w:w="833" w:type="pct"/>
            <w:vAlign w:val="center"/>
          </w:tcPr>
          <w:p w14:paraId="1A640F66"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0BAF7E4B" w14:textId="77777777" w:rsidR="00D1501A" w:rsidRPr="006B443D" w:rsidRDefault="008067F3" w:rsidP="00710291">
            <w:pPr>
              <w:spacing w:before="120" w:after="120"/>
              <w:jc w:val="both"/>
              <w:rPr>
                <w:rFonts w:asciiTheme="minorHAnsi" w:hAnsiTheme="minorHAnsi"/>
                <w:sz w:val="22"/>
                <w:szCs w:val="22"/>
              </w:rPr>
            </w:pPr>
            <w:r>
              <w:rPr>
                <w:rFonts w:asciiTheme="minorHAnsi" w:hAnsiTheme="minorHAnsi"/>
                <w:sz w:val="22"/>
                <w:szCs w:val="22"/>
              </w:rPr>
              <w:t>MPO</w:t>
            </w:r>
          </w:p>
        </w:tc>
      </w:tr>
      <w:tr w:rsidR="00D1501A" w:rsidRPr="006B443D" w14:paraId="4F33D06C" w14:textId="77777777" w:rsidTr="00710291">
        <w:tc>
          <w:tcPr>
            <w:tcW w:w="833" w:type="pct"/>
            <w:vAlign w:val="center"/>
          </w:tcPr>
          <w:p w14:paraId="4292031E"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768E6133" w14:textId="77777777" w:rsidR="00D1501A" w:rsidRPr="006B443D" w:rsidRDefault="008067F3" w:rsidP="00710291">
            <w:pPr>
              <w:spacing w:before="120" w:after="120"/>
              <w:jc w:val="both"/>
              <w:rPr>
                <w:rFonts w:asciiTheme="minorHAnsi" w:hAnsiTheme="minorHAnsi"/>
                <w:sz w:val="22"/>
                <w:szCs w:val="22"/>
              </w:rPr>
            </w:pPr>
            <w:r w:rsidRPr="008067F3">
              <w:rPr>
                <w:rFonts w:asciiTheme="minorHAnsi" w:hAnsiTheme="minorHAnsi"/>
                <w:sz w:val="22"/>
                <w:szCs w:val="22"/>
              </w:rPr>
              <w:t>každoročně do 30. 10. (v návaznosti na aktualizaci SEK)</w:t>
            </w:r>
          </w:p>
        </w:tc>
      </w:tr>
      <w:tr w:rsidR="00D1501A" w:rsidRPr="006B443D" w14:paraId="49B99FD4" w14:textId="77777777" w:rsidTr="00710291">
        <w:tc>
          <w:tcPr>
            <w:tcW w:w="833" w:type="pct"/>
            <w:vAlign w:val="center"/>
          </w:tcPr>
          <w:p w14:paraId="11CF927C"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63334AF4" w14:textId="77777777" w:rsidR="008067F3" w:rsidRPr="008B43EE" w:rsidRDefault="008067F3" w:rsidP="008067F3">
            <w:pPr>
              <w:overflowPunct w:val="0"/>
              <w:autoSpaceDE w:val="0"/>
              <w:autoSpaceDN w:val="0"/>
              <w:adjustRightInd w:val="0"/>
              <w:spacing w:before="120" w:after="120"/>
              <w:jc w:val="both"/>
              <w:textAlignment w:val="baseline"/>
              <w:rPr>
                <w:rFonts w:asciiTheme="minorHAnsi" w:hAnsiTheme="minorHAnsi"/>
                <w:b/>
                <w:sz w:val="22"/>
                <w:szCs w:val="22"/>
              </w:rPr>
            </w:pPr>
            <w:r w:rsidRPr="008B43EE">
              <w:rPr>
                <w:rFonts w:asciiTheme="minorHAnsi" w:hAnsiTheme="minorHAnsi"/>
                <w:b/>
                <w:sz w:val="22"/>
                <w:szCs w:val="22"/>
              </w:rPr>
              <w:t>Plněno průběžně</w:t>
            </w:r>
          </w:p>
          <w:p w14:paraId="41CF5D6A" w14:textId="3CEDE574" w:rsidR="008067F3" w:rsidRPr="008B43EE" w:rsidRDefault="007A3F51" w:rsidP="00060F1D">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8B43EE">
              <w:rPr>
                <w:rFonts w:asciiTheme="minorHAnsi" w:hAnsiTheme="minorHAnsi"/>
                <w:sz w:val="22"/>
                <w:szCs w:val="22"/>
              </w:rPr>
              <w:t xml:space="preserve">S ohledem na </w:t>
            </w:r>
            <w:r w:rsidR="008067F3" w:rsidRPr="008B43EE">
              <w:rPr>
                <w:rFonts w:asciiTheme="minorHAnsi" w:hAnsiTheme="minorHAnsi"/>
                <w:sz w:val="22"/>
                <w:szCs w:val="22"/>
              </w:rPr>
              <w:t xml:space="preserve">dostupnost dat potřebných pro zpracování těchto zpráv, </w:t>
            </w:r>
            <w:r w:rsidR="000C6A84" w:rsidRPr="008B43EE">
              <w:rPr>
                <w:rFonts w:asciiTheme="minorHAnsi" w:hAnsiTheme="minorHAnsi"/>
                <w:sz w:val="22"/>
                <w:szCs w:val="22"/>
              </w:rPr>
              <w:t>jsou</w:t>
            </w:r>
            <w:r w:rsidR="008067F3" w:rsidRPr="008B43EE">
              <w:rPr>
                <w:rFonts w:asciiTheme="minorHAnsi" w:hAnsiTheme="minorHAnsi"/>
                <w:sz w:val="22"/>
                <w:szCs w:val="22"/>
              </w:rPr>
              <w:t xml:space="preserve"> </w:t>
            </w:r>
            <w:r w:rsidR="000C6A84" w:rsidRPr="008B43EE">
              <w:rPr>
                <w:rFonts w:asciiTheme="minorHAnsi" w:hAnsiTheme="minorHAnsi"/>
                <w:sz w:val="22"/>
                <w:szCs w:val="22"/>
              </w:rPr>
              <w:t xml:space="preserve">tyto </w:t>
            </w:r>
            <w:r w:rsidR="008067F3" w:rsidRPr="008B43EE">
              <w:rPr>
                <w:rFonts w:asciiTheme="minorHAnsi" w:hAnsiTheme="minorHAnsi"/>
                <w:sz w:val="22"/>
                <w:szCs w:val="22"/>
              </w:rPr>
              <w:t>zprávy připrav</w:t>
            </w:r>
            <w:r w:rsidR="000C6A84" w:rsidRPr="008B43EE">
              <w:rPr>
                <w:rFonts w:asciiTheme="minorHAnsi" w:hAnsiTheme="minorHAnsi"/>
                <w:sz w:val="22"/>
                <w:szCs w:val="22"/>
              </w:rPr>
              <w:t>ovány a zveřejňovány</w:t>
            </w:r>
            <w:r w:rsidR="008067F3" w:rsidRPr="008B43EE">
              <w:rPr>
                <w:rFonts w:asciiTheme="minorHAnsi" w:hAnsiTheme="minorHAnsi"/>
                <w:sz w:val="22"/>
                <w:szCs w:val="22"/>
              </w:rPr>
              <w:t xml:space="preserve"> </w:t>
            </w:r>
            <w:r w:rsidR="00060F1D" w:rsidRPr="00060F1D">
              <w:rPr>
                <w:rFonts w:asciiTheme="minorHAnsi" w:hAnsiTheme="minorHAnsi"/>
                <w:sz w:val="22"/>
                <w:szCs w:val="22"/>
              </w:rPr>
              <w:t xml:space="preserve">se zpožděním oproti </w:t>
            </w:r>
            <w:r w:rsidR="00060F1D">
              <w:rPr>
                <w:rFonts w:asciiTheme="minorHAnsi" w:hAnsiTheme="minorHAnsi"/>
                <w:sz w:val="22"/>
                <w:szCs w:val="22"/>
              </w:rPr>
              <w:t>stanovenému termínu</w:t>
            </w:r>
            <w:r w:rsidR="00060F1D" w:rsidRPr="00060F1D">
              <w:rPr>
                <w:rFonts w:asciiTheme="minorHAnsi" w:hAnsiTheme="minorHAnsi"/>
                <w:sz w:val="22"/>
                <w:szCs w:val="22"/>
              </w:rPr>
              <w:t>, a to nejpozději v</w:t>
            </w:r>
            <w:r w:rsidR="00060F1D">
              <w:rPr>
                <w:rFonts w:asciiTheme="minorHAnsi" w:hAnsiTheme="minorHAnsi"/>
                <w:sz w:val="22"/>
                <w:szCs w:val="22"/>
              </w:rPr>
              <w:t xml:space="preserve"> prvním čtvrtletí </w:t>
            </w:r>
            <w:r w:rsidR="00060F1D" w:rsidRPr="00060F1D">
              <w:rPr>
                <w:rFonts w:asciiTheme="minorHAnsi" w:hAnsiTheme="minorHAnsi"/>
                <w:sz w:val="22"/>
                <w:szCs w:val="22"/>
              </w:rPr>
              <w:t>následujícího roku</w:t>
            </w:r>
            <w:r w:rsidR="00BA6540" w:rsidRPr="008B43EE">
              <w:rPr>
                <w:rFonts w:asciiTheme="minorHAnsi" w:hAnsiTheme="minorHAnsi"/>
                <w:sz w:val="22"/>
                <w:szCs w:val="22"/>
              </w:rPr>
              <w:t>.</w:t>
            </w:r>
          </w:p>
          <w:p w14:paraId="4B3F7F21" w14:textId="61510DFF" w:rsidR="008067F3" w:rsidRPr="008B43EE" w:rsidRDefault="008067F3" w:rsidP="008067F3">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8B43EE">
              <w:rPr>
                <w:rFonts w:asciiTheme="minorHAnsi" w:hAnsiTheme="minorHAnsi"/>
                <w:sz w:val="22"/>
                <w:szCs w:val="22"/>
              </w:rPr>
              <w:lastRenderedPageBreak/>
              <w:t>V oblastech elektroenergetiky a plynárenství odpovídá tomuto požadavku dokument "Očekávaná dlouhodobá rovnováha mezi nabídkou a poptávkou elektřiny a plynu", zpracovávaný a předávaný MPO ze strany Operátora trhu, společnosti OTE, a.s., na základě ustanovení zákona č. 458/2000 Sb., o</w:t>
            </w:r>
            <w:r w:rsidR="007D28DC" w:rsidRPr="008B43EE">
              <w:rPr>
                <w:rFonts w:asciiTheme="minorHAnsi" w:hAnsiTheme="minorHAnsi"/>
                <w:sz w:val="22"/>
                <w:szCs w:val="22"/>
              </w:rPr>
              <w:t> </w:t>
            </w:r>
            <w:r w:rsidRPr="008B43EE">
              <w:rPr>
                <w:rFonts w:asciiTheme="minorHAnsi" w:hAnsiTheme="minorHAnsi"/>
                <w:sz w:val="22"/>
                <w:szCs w:val="22"/>
              </w:rPr>
              <w:t>podmínkách podnikání a o výkonu státní správy v energetických odvětvích a</w:t>
            </w:r>
            <w:r w:rsidR="007D28DC" w:rsidRPr="008B43EE">
              <w:rPr>
                <w:rFonts w:asciiTheme="minorHAnsi" w:hAnsiTheme="minorHAnsi"/>
                <w:sz w:val="22"/>
                <w:szCs w:val="22"/>
              </w:rPr>
              <w:t> </w:t>
            </w:r>
            <w:r w:rsidRPr="008B43EE">
              <w:rPr>
                <w:rFonts w:asciiTheme="minorHAnsi" w:hAnsiTheme="minorHAnsi"/>
                <w:sz w:val="22"/>
                <w:szCs w:val="22"/>
              </w:rPr>
              <w:t>o</w:t>
            </w:r>
            <w:r w:rsidR="007D28DC" w:rsidRPr="008B43EE">
              <w:rPr>
                <w:rFonts w:asciiTheme="minorHAnsi" w:hAnsiTheme="minorHAnsi"/>
                <w:sz w:val="22"/>
                <w:szCs w:val="22"/>
              </w:rPr>
              <w:t> </w:t>
            </w:r>
            <w:r w:rsidRPr="008B43EE">
              <w:rPr>
                <w:rFonts w:asciiTheme="minorHAnsi" w:hAnsiTheme="minorHAnsi"/>
                <w:sz w:val="22"/>
                <w:szCs w:val="22"/>
              </w:rPr>
              <w:t>změně některých zákonů. Hlavní výstupy pro veřejnost v češtině a angličtině jsou shrnuty v dokumentu "Zpráva o očekávané dlouhodobé rovnováze mezi nabídkou a poptávkou elektřiny a plynu", která je každoročně zveřejňována na stránkách Operátora trhu OTE, a.s., a nově i na stránkách MPO.</w:t>
            </w:r>
          </w:p>
          <w:p w14:paraId="5DFCE3BD" w14:textId="4F9D3D89" w:rsidR="00D1501A" w:rsidRPr="008B43EE" w:rsidRDefault="008B43EE" w:rsidP="00060F1D">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V oblasti teplárenství a v sektoru ropy a ropných produktů byly první zprávy zpracovány MPO v prů</w:t>
            </w:r>
            <w:r w:rsidR="00EA7008">
              <w:rPr>
                <w:rFonts w:asciiTheme="minorHAnsi" w:hAnsiTheme="minorHAnsi"/>
                <w:sz w:val="22"/>
                <w:szCs w:val="22"/>
              </w:rPr>
              <w:t>b</w:t>
            </w:r>
            <w:r>
              <w:rPr>
                <w:rFonts w:asciiTheme="minorHAnsi" w:hAnsiTheme="minorHAnsi"/>
                <w:sz w:val="22"/>
                <w:szCs w:val="22"/>
              </w:rPr>
              <w:t>ěh</w:t>
            </w:r>
            <w:r w:rsidR="00D74582">
              <w:rPr>
                <w:rFonts w:asciiTheme="minorHAnsi" w:hAnsiTheme="minorHAnsi"/>
                <w:sz w:val="22"/>
                <w:szCs w:val="22"/>
              </w:rPr>
              <w:t>u</w:t>
            </w:r>
            <w:r>
              <w:rPr>
                <w:rFonts w:asciiTheme="minorHAnsi" w:hAnsiTheme="minorHAnsi"/>
                <w:sz w:val="22"/>
                <w:szCs w:val="22"/>
              </w:rPr>
              <w:t xml:space="preserve"> roku 2016 </w:t>
            </w:r>
            <w:r w:rsidR="00EA7008">
              <w:rPr>
                <w:rFonts w:asciiTheme="minorHAnsi" w:hAnsiTheme="minorHAnsi"/>
                <w:sz w:val="22"/>
                <w:szCs w:val="22"/>
              </w:rPr>
              <w:t>a byly zveřejněny na počátku roku 2017.</w:t>
            </w:r>
            <w:r>
              <w:rPr>
                <w:rFonts w:asciiTheme="minorHAnsi" w:hAnsiTheme="minorHAnsi"/>
                <w:sz w:val="22"/>
                <w:szCs w:val="22"/>
              </w:rPr>
              <w:t xml:space="preserve"> </w:t>
            </w:r>
            <w:r w:rsidR="00060F1D" w:rsidRPr="00B57A25">
              <w:rPr>
                <w:rFonts w:asciiTheme="minorHAnsi" w:hAnsiTheme="minorHAnsi"/>
                <w:sz w:val="22"/>
                <w:szCs w:val="22"/>
              </w:rPr>
              <w:t>Zpráva o vývoji energetiky v oblasti tepla za rok 2016</w:t>
            </w:r>
            <w:r w:rsidR="00060F1D">
              <w:rPr>
                <w:rFonts w:asciiTheme="minorHAnsi" w:hAnsiTheme="minorHAnsi"/>
                <w:sz w:val="22"/>
                <w:szCs w:val="22"/>
              </w:rPr>
              <w:t xml:space="preserve"> byla zveřejněna v únoru 2018 a </w:t>
            </w:r>
            <w:r w:rsidR="00060F1D" w:rsidRPr="00B57A25">
              <w:rPr>
                <w:rFonts w:asciiTheme="minorHAnsi" w:hAnsiTheme="minorHAnsi"/>
                <w:sz w:val="22"/>
                <w:szCs w:val="22"/>
              </w:rPr>
              <w:t>Zpráva o vývoji energeti</w:t>
            </w:r>
            <w:r w:rsidR="00060F1D">
              <w:rPr>
                <w:rFonts w:asciiTheme="minorHAnsi" w:hAnsiTheme="minorHAnsi"/>
                <w:sz w:val="22"/>
                <w:szCs w:val="22"/>
              </w:rPr>
              <w:t xml:space="preserve">ky </w:t>
            </w:r>
            <w:r w:rsidR="00060F1D" w:rsidRPr="00B57A25">
              <w:rPr>
                <w:rFonts w:asciiTheme="minorHAnsi" w:hAnsiTheme="minorHAnsi"/>
                <w:sz w:val="22"/>
                <w:szCs w:val="22"/>
              </w:rPr>
              <w:t>v oblasti ropy a</w:t>
            </w:r>
            <w:r w:rsidR="00060F1D">
              <w:rPr>
                <w:rFonts w:asciiTheme="minorHAnsi" w:hAnsiTheme="minorHAnsi"/>
                <w:sz w:val="22"/>
                <w:szCs w:val="22"/>
              </w:rPr>
              <w:t> </w:t>
            </w:r>
            <w:r w:rsidR="00060F1D" w:rsidRPr="00B57A25">
              <w:rPr>
                <w:rFonts w:asciiTheme="minorHAnsi" w:hAnsiTheme="minorHAnsi"/>
                <w:sz w:val="22"/>
                <w:szCs w:val="22"/>
              </w:rPr>
              <w:t>ropných produktů za rok 2016</w:t>
            </w:r>
            <w:r w:rsidR="00060F1D">
              <w:rPr>
                <w:rFonts w:asciiTheme="minorHAnsi" w:hAnsiTheme="minorHAnsi"/>
                <w:sz w:val="22"/>
                <w:szCs w:val="22"/>
              </w:rPr>
              <w:t xml:space="preserve"> pak na začátku dubna 2018.</w:t>
            </w:r>
          </w:p>
        </w:tc>
      </w:tr>
    </w:tbl>
    <w:p w14:paraId="71355D82" w14:textId="77777777" w:rsidR="00D1501A" w:rsidRDefault="00D1501A">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D1501A" w:rsidRPr="006B443D" w14:paraId="6CE2111D" w14:textId="77777777" w:rsidTr="00710291">
        <w:tc>
          <w:tcPr>
            <w:tcW w:w="833" w:type="pct"/>
            <w:shd w:val="clear" w:color="auto" w:fill="DBE5F1" w:themeFill="accent1" w:themeFillTint="33"/>
            <w:vAlign w:val="center"/>
          </w:tcPr>
          <w:p w14:paraId="275127BC" w14:textId="77777777" w:rsidR="00D1501A" w:rsidRPr="006B443D" w:rsidRDefault="00D1501A" w:rsidP="002C5FC9">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6F6E1329" w14:textId="77777777" w:rsidR="00D1501A" w:rsidRPr="006B443D" w:rsidRDefault="00BA6540" w:rsidP="002C5FC9">
            <w:pPr>
              <w:keepNext/>
              <w:spacing w:before="120" w:after="120"/>
              <w:jc w:val="both"/>
              <w:rPr>
                <w:rFonts w:asciiTheme="minorHAnsi" w:hAnsiTheme="minorHAnsi"/>
                <w:b/>
                <w:sz w:val="22"/>
                <w:szCs w:val="22"/>
              </w:rPr>
            </w:pPr>
            <w:r w:rsidRPr="00BA6540">
              <w:rPr>
                <w:rFonts w:asciiTheme="minorHAnsi" w:hAnsiTheme="minorHAnsi"/>
                <w:b/>
                <w:sz w:val="22"/>
                <w:szCs w:val="22"/>
              </w:rPr>
              <w:t>Aktualizace PÚR a následně ÚPD ve vazbě na SEK a zpracované analýzy</w:t>
            </w:r>
          </w:p>
        </w:tc>
      </w:tr>
      <w:tr w:rsidR="00D1501A" w:rsidRPr="006B443D" w14:paraId="1055A621" w14:textId="77777777" w:rsidTr="00710291">
        <w:tc>
          <w:tcPr>
            <w:tcW w:w="833" w:type="pct"/>
            <w:vAlign w:val="center"/>
          </w:tcPr>
          <w:p w14:paraId="37B7843D"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1658F7FF" w14:textId="77777777" w:rsidR="00BA6540" w:rsidRPr="00BA6540" w:rsidRDefault="00BA6540" w:rsidP="00BA6540">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A6540">
              <w:rPr>
                <w:rFonts w:asciiTheme="minorHAnsi" w:hAnsiTheme="minorHAnsi"/>
                <w:sz w:val="22"/>
                <w:szCs w:val="22"/>
              </w:rPr>
              <w:t>Po projednání vyžadovaném zákonem a zúžení počtu variant umístění zahrnutí nových lokalit JE, lokalit pro úložiště vyhořelého jaderného paliva.</w:t>
            </w:r>
          </w:p>
          <w:p w14:paraId="6E2EB153" w14:textId="77777777" w:rsidR="00D1501A" w:rsidRPr="006B443D" w:rsidRDefault="00BA6540" w:rsidP="00BA6540">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A6540">
              <w:rPr>
                <w:rFonts w:asciiTheme="minorHAnsi" w:hAnsiTheme="minorHAnsi"/>
                <w:sz w:val="22"/>
                <w:szCs w:val="22"/>
              </w:rPr>
              <w:t>Po projednání vyžadovaném zákonem zahrnutí nových koridorů pro přenosové a přepravní sítě, umístění dálkových horkovodů a rozvoj/transformaci soustav zásobování teplem.</w:t>
            </w:r>
          </w:p>
        </w:tc>
      </w:tr>
      <w:tr w:rsidR="00D1501A" w:rsidRPr="006B443D" w14:paraId="69A75169" w14:textId="77777777" w:rsidTr="00710291">
        <w:tc>
          <w:tcPr>
            <w:tcW w:w="833" w:type="pct"/>
            <w:vAlign w:val="center"/>
          </w:tcPr>
          <w:p w14:paraId="40D305E6"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7A960E16" w14:textId="77777777" w:rsidR="00D1501A" w:rsidRPr="006B443D" w:rsidRDefault="00BA6540" w:rsidP="00710291">
            <w:pPr>
              <w:spacing w:before="120" w:after="120"/>
              <w:jc w:val="both"/>
              <w:rPr>
                <w:rFonts w:asciiTheme="minorHAnsi" w:hAnsiTheme="minorHAnsi"/>
                <w:sz w:val="22"/>
                <w:szCs w:val="22"/>
              </w:rPr>
            </w:pPr>
            <w:r w:rsidRPr="00BA6540">
              <w:rPr>
                <w:rFonts w:asciiTheme="minorHAnsi" w:hAnsiTheme="minorHAnsi"/>
                <w:sz w:val="22"/>
                <w:szCs w:val="22"/>
              </w:rPr>
              <w:t>MMR, v součinnosti s MPO a s dotčenými kraji a obcemi</w:t>
            </w:r>
          </w:p>
        </w:tc>
      </w:tr>
      <w:tr w:rsidR="00D1501A" w:rsidRPr="006B443D" w14:paraId="7DDF730B" w14:textId="77777777" w:rsidTr="00710291">
        <w:tc>
          <w:tcPr>
            <w:tcW w:w="833" w:type="pct"/>
            <w:vAlign w:val="center"/>
          </w:tcPr>
          <w:p w14:paraId="52EB06E1"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1D73C87F" w14:textId="77777777" w:rsidR="00D1501A" w:rsidRPr="006B443D" w:rsidRDefault="00BA6540" w:rsidP="00710291">
            <w:pPr>
              <w:spacing w:before="120" w:after="120"/>
              <w:jc w:val="both"/>
              <w:rPr>
                <w:rFonts w:asciiTheme="minorHAnsi" w:hAnsiTheme="minorHAnsi"/>
                <w:sz w:val="22"/>
                <w:szCs w:val="22"/>
              </w:rPr>
            </w:pPr>
            <w:r w:rsidRPr="00BA6540">
              <w:rPr>
                <w:rFonts w:asciiTheme="minorHAnsi" w:hAnsiTheme="minorHAnsi"/>
                <w:sz w:val="22"/>
                <w:szCs w:val="22"/>
              </w:rPr>
              <w:t>PÚR do 2 let od rozhodnutí o výběru lokalit a ÚPD krajů, resp. ZÚR, následně do 3 let</w:t>
            </w:r>
          </w:p>
        </w:tc>
      </w:tr>
      <w:tr w:rsidR="00D1501A" w:rsidRPr="006B443D" w14:paraId="14562947" w14:textId="77777777" w:rsidTr="00710291">
        <w:tc>
          <w:tcPr>
            <w:tcW w:w="833" w:type="pct"/>
            <w:vAlign w:val="center"/>
          </w:tcPr>
          <w:p w14:paraId="004D7512" w14:textId="77777777" w:rsidR="00D1501A" w:rsidRPr="006B443D" w:rsidRDefault="00D1501A"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3690E19F" w14:textId="4BF89F2D" w:rsidR="00BA6540" w:rsidRPr="007A3F51" w:rsidRDefault="00496481" w:rsidP="00BA6540">
            <w:pPr>
              <w:overflowPunct w:val="0"/>
              <w:autoSpaceDE w:val="0"/>
              <w:autoSpaceDN w:val="0"/>
              <w:adjustRightInd w:val="0"/>
              <w:spacing w:before="120" w:after="120"/>
              <w:jc w:val="both"/>
              <w:textAlignment w:val="baseline"/>
              <w:rPr>
                <w:rFonts w:asciiTheme="minorHAnsi" w:hAnsiTheme="minorHAnsi"/>
                <w:b/>
                <w:sz w:val="22"/>
                <w:szCs w:val="22"/>
              </w:rPr>
            </w:pPr>
            <w:r w:rsidRPr="007A3F51">
              <w:rPr>
                <w:rFonts w:asciiTheme="minorHAnsi" w:hAnsiTheme="minorHAnsi"/>
                <w:b/>
                <w:sz w:val="22"/>
                <w:szCs w:val="22"/>
              </w:rPr>
              <w:t>Bude splněno v návaznosti na příslušná rozhodnutí a také v souladu s platnou legislativou</w:t>
            </w:r>
          </w:p>
          <w:p w14:paraId="6F2C5F6F" w14:textId="56304C08" w:rsidR="00D1501A" w:rsidRPr="00D1501A" w:rsidRDefault="00BA6540" w:rsidP="00BF0446">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A6540">
              <w:rPr>
                <w:rFonts w:asciiTheme="minorHAnsi" w:hAnsiTheme="minorHAnsi"/>
                <w:sz w:val="22"/>
                <w:szCs w:val="22"/>
              </w:rPr>
              <w:t xml:space="preserve">Usnesením vlády </w:t>
            </w:r>
            <w:r w:rsidR="008707D7">
              <w:rPr>
                <w:rFonts w:asciiTheme="minorHAnsi" w:hAnsiTheme="minorHAnsi"/>
                <w:sz w:val="22"/>
                <w:szCs w:val="22"/>
              </w:rPr>
              <w:t xml:space="preserve">ČR </w:t>
            </w:r>
            <w:r w:rsidRPr="00BA6540">
              <w:rPr>
                <w:rFonts w:asciiTheme="minorHAnsi" w:hAnsiTheme="minorHAnsi"/>
                <w:sz w:val="22"/>
                <w:szCs w:val="22"/>
              </w:rPr>
              <w:t xml:space="preserve">č. 276 ze dne 15. </w:t>
            </w:r>
            <w:r w:rsidR="009D1D20">
              <w:rPr>
                <w:rFonts w:asciiTheme="minorHAnsi" w:hAnsiTheme="minorHAnsi"/>
                <w:sz w:val="22"/>
                <w:szCs w:val="22"/>
              </w:rPr>
              <w:t>dubna</w:t>
            </w:r>
            <w:r w:rsidRPr="00BA6540">
              <w:rPr>
                <w:rFonts w:asciiTheme="minorHAnsi" w:hAnsiTheme="minorHAnsi"/>
                <w:sz w:val="22"/>
                <w:szCs w:val="22"/>
              </w:rPr>
              <w:t xml:space="preserve"> 2015 byla schválena Aktualizace č.</w:t>
            </w:r>
            <w:r w:rsidR="008707D7">
              <w:rPr>
                <w:rFonts w:asciiTheme="minorHAnsi" w:hAnsiTheme="minorHAnsi"/>
                <w:sz w:val="22"/>
                <w:szCs w:val="22"/>
              </w:rPr>
              <w:t> </w:t>
            </w:r>
            <w:r w:rsidRPr="00BA6540">
              <w:rPr>
                <w:rFonts w:asciiTheme="minorHAnsi" w:hAnsiTheme="minorHAnsi"/>
                <w:sz w:val="22"/>
                <w:szCs w:val="22"/>
              </w:rPr>
              <w:t>1 PÚR ČR. Případná další řádná aktualizace PÚR ČR bude pořizována na základě vládou projednané Zprávy o uplatňování PÚR ČR, ve znění Aktualizace č.</w:t>
            </w:r>
            <w:r w:rsidR="008707D7">
              <w:rPr>
                <w:rFonts w:asciiTheme="minorHAnsi" w:hAnsiTheme="minorHAnsi"/>
                <w:sz w:val="22"/>
                <w:szCs w:val="22"/>
              </w:rPr>
              <w:t> </w:t>
            </w:r>
            <w:r w:rsidRPr="00BA6540">
              <w:rPr>
                <w:rFonts w:asciiTheme="minorHAnsi" w:hAnsiTheme="minorHAnsi"/>
                <w:sz w:val="22"/>
                <w:szCs w:val="22"/>
              </w:rPr>
              <w:t>1, která má být vládě předložena v termínu do 30. dubna 2019. Stavební zákon připouští i</w:t>
            </w:r>
            <w:r w:rsidR="002F1E7C">
              <w:rPr>
                <w:rFonts w:asciiTheme="minorHAnsi" w:hAnsiTheme="minorHAnsi"/>
                <w:sz w:val="22"/>
                <w:szCs w:val="22"/>
              </w:rPr>
              <w:t> </w:t>
            </w:r>
            <w:r w:rsidRPr="00BA6540">
              <w:rPr>
                <w:rFonts w:asciiTheme="minorHAnsi" w:hAnsiTheme="minorHAnsi"/>
                <w:sz w:val="22"/>
                <w:szCs w:val="22"/>
              </w:rPr>
              <w:t xml:space="preserve">tzv. „mimořádnou“ aktualizaci PÚR ČR z důvodu naléhavého veřejného zájmu (podle § 35 odst. 5), o které rozhoduje vláda </w:t>
            </w:r>
            <w:r w:rsidR="005A74D0">
              <w:rPr>
                <w:rFonts w:asciiTheme="minorHAnsi" w:hAnsiTheme="minorHAnsi"/>
                <w:sz w:val="22"/>
                <w:szCs w:val="22"/>
              </w:rPr>
              <w:t xml:space="preserve">(v </w:t>
            </w:r>
            <w:r w:rsidRPr="00BA6540">
              <w:rPr>
                <w:rFonts w:asciiTheme="minorHAnsi" w:hAnsiTheme="minorHAnsi"/>
                <w:sz w:val="22"/>
                <w:szCs w:val="22"/>
              </w:rPr>
              <w:t>tomto případě</w:t>
            </w:r>
            <w:r w:rsidR="005A74D0">
              <w:rPr>
                <w:rFonts w:asciiTheme="minorHAnsi" w:hAnsiTheme="minorHAnsi"/>
                <w:sz w:val="22"/>
                <w:szCs w:val="22"/>
              </w:rPr>
              <w:t xml:space="preserve"> bez předložení</w:t>
            </w:r>
            <w:r w:rsidRPr="00BA6540">
              <w:rPr>
                <w:rFonts w:asciiTheme="minorHAnsi" w:hAnsiTheme="minorHAnsi"/>
                <w:sz w:val="22"/>
                <w:szCs w:val="22"/>
              </w:rPr>
              <w:t xml:space="preserve"> Zpráv</w:t>
            </w:r>
            <w:r w:rsidR="005A74D0">
              <w:rPr>
                <w:rFonts w:asciiTheme="minorHAnsi" w:hAnsiTheme="minorHAnsi"/>
                <w:sz w:val="22"/>
                <w:szCs w:val="22"/>
              </w:rPr>
              <w:t>y</w:t>
            </w:r>
            <w:r w:rsidRPr="00BA6540">
              <w:rPr>
                <w:rFonts w:asciiTheme="minorHAnsi" w:hAnsiTheme="minorHAnsi"/>
                <w:sz w:val="22"/>
                <w:szCs w:val="22"/>
              </w:rPr>
              <w:t xml:space="preserve"> o uplatňování PÚR ČR</w:t>
            </w:r>
            <w:r w:rsidR="00D337CD">
              <w:rPr>
                <w:rFonts w:asciiTheme="minorHAnsi" w:hAnsiTheme="minorHAnsi"/>
                <w:sz w:val="22"/>
                <w:szCs w:val="22"/>
              </w:rPr>
              <w:t>)</w:t>
            </w:r>
            <w:r w:rsidRPr="00BA6540">
              <w:rPr>
                <w:rFonts w:asciiTheme="minorHAnsi" w:hAnsiTheme="minorHAnsi"/>
                <w:sz w:val="22"/>
                <w:szCs w:val="22"/>
              </w:rPr>
              <w:t xml:space="preserve">. Případné vymezení ploch pro nové lokality </w:t>
            </w:r>
            <w:r w:rsidR="002E562C">
              <w:rPr>
                <w:rFonts w:asciiTheme="minorHAnsi" w:hAnsiTheme="minorHAnsi"/>
                <w:sz w:val="22"/>
                <w:szCs w:val="22"/>
              </w:rPr>
              <w:t>jaderných elektráren</w:t>
            </w:r>
            <w:r w:rsidRPr="00BA6540">
              <w:rPr>
                <w:rFonts w:asciiTheme="minorHAnsi" w:hAnsiTheme="minorHAnsi"/>
                <w:sz w:val="22"/>
                <w:szCs w:val="22"/>
              </w:rPr>
              <w:t xml:space="preserve"> a</w:t>
            </w:r>
            <w:r w:rsidR="008707D7">
              <w:rPr>
                <w:rFonts w:asciiTheme="minorHAnsi" w:hAnsiTheme="minorHAnsi"/>
                <w:sz w:val="22"/>
                <w:szCs w:val="22"/>
              </w:rPr>
              <w:t xml:space="preserve"> </w:t>
            </w:r>
            <w:r w:rsidRPr="00BA6540">
              <w:rPr>
                <w:rFonts w:asciiTheme="minorHAnsi" w:hAnsiTheme="minorHAnsi"/>
                <w:sz w:val="22"/>
                <w:szCs w:val="22"/>
              </w:rPr>
              <w:t>pro lokality pro úložiště vyhořelého jaderného paliva, a</w:t>
            </w:r>
            <w:r w:rsidR="008707D7">
              <w:rPr>
                <w:rFonts w:asciiTheme="minorHAnsi" w:hAnsiTheme="minorHAnsi"/>
                <w:sz w:val="22"/>
                <w:szCs w:val="22"/>
              </w:rPr>
              <w:t xml:space="preserve"> </w:t>
            </w:r>
            <w:r w:rsidRPr="00BA6540">
              <w:rPr>
                <w:rFonts w:asciiTheme="minorHAnsi" w:hAnsiTheme="minorHAnsi"/>
                <w:sz w:val="22"/>
                <w:szCs w:val="22"/>
              </w:rPr>
              <w:t>dále případné vymezení nových koridorů pro přenosové a</w:t>
            </w:r>
            <w:r w:rsidR="008707D7">
              <w:rPr>
                <w:rFonts w:asciiTheme="minorHAnsi" w:hAnsiTheme="minorHAnsi"/>
                <w:sz w:val="22"/>
                <w:szCs w:val="22"/>
              </w:rPr>
              <w:t> </w:t>
            </w:r>
            <w:r w:rsidRPr="00BA6540">
              <w:rPr>
                <w:rFonts w:asciiTheme="minorHAnsi" w:hAnsiTheme="minorHAnsi"/>
                <w:sz w:val="22"/>
                <w:szCs w:val="22"/>
              </w:rPr>
              <w:t>přepravní sítě a</w:t>
            </w:r>
            <w:r w:rsidR="002E562C">
              <w:rPr>
                <w:rFonts w:asciiTheme="minorHAnsi" w:hAnsiTheme="minorHAnsi"/>
                <w:sz w:val="22"/>
                <w:szCs w:val="22"/>
              </w:rPr>
              <w:t> </w:t>
            </w:r>
            <w:r w:rsidRPr="00BA6540">
              <w:rPr>
                <w:rFonts w:asciiTheme="minorHAnsi" w:hAnsiTheme="minorHAnsi"/>
                <w:sz w:val="22"/>
                <w:szCs w:val="22"/>
              </w:rPr>
              <w:t xml:space="preserve">dálkové horkovody </w:t>
            </w:r>
            <w:r w:rsidR="005A74D0">
              <w:rPr>
                <w:rFonts w:asciiTheme="minorHAnsi" w:hAnsiTheme="minorHAnsi"/>
                <w:sz w:val="22"/>
                <w:szCs w:val="22"/>
              </w:rPr>
              <w:t>může</w:t>
            </w:r>
            <w:r w:rsidRPr="00BA6540">
              <w:rPr>
                <w:rFonts w:asciiTheme="minorHAnsi" w:hAnsiTheme="minorHAnsi"/>
                <w:sz w:val="22"/>
                <w:szCs w:val="22"/>
              </w:rPr>
              <w:t xml:space="preserve"> být zahrnut</w:t>
            </w:r>
            <w:r w:rsidR="005A74D0">
              <w:rPr>
                <w:rFonts w:asciiTheme="minorHAnsi" w:hAnsiTheme="minorHAnsi"/>
                <w:sz w:val="22"/>
                <w:szCs w:val="22"/>
              </w:rPr>
              <w:t>o</w:t>
            </w:r>
            <w:r w:rsidRPr="00BA6540">
              <w:rPr>
                <w:rFonts w:asciiTheme="minorHAnsi" w:hAnsiTheme="minorHAnsi"/>
                <w:sz w:val="22"/>
                <w:szCs w:val="22"/>
              </w:rPr>
              <w:t xml:space="preserve"> do PÚR ČR v rámci pořizování výše zmíněné řádné aktualizace PÚR ČR, nebo případ</w:t>
            </w:r>
            <w:r w:rsidR="005A74D0">
              <w:rPr>
                <w:rFonts w:asciiTheme="minorHAnsi" w:hAnsiTheme="minorHAnsi"/>
                <w:sz w:val="22"/>
                <w:szCs w:val="22"/>
              </w:rPr>
              <w:t>n</w:t>
            </w:r>
            <w:r w:rsidRPr="00BA6540">
              <w:rPr>
                <w:rFonts w:asciiTheme="minorHAnsi" w:hAnsiTheme="minorHAnsi"/>
                <w:sz w:val="22"/>
                <w:szCs w:val="22"/>
              </w:rPr>
              <w:t>ě</w:t>
            </w:r>
            <w:r w:rsidR="005A74D0">
              <w:rPr>
                <w:rFonts w:asciiTheme="minorHAnsi" w:hAnsiTheme="minorHAnsi"/>
                <w:sz w:val="22"/>
                <w:szCs w:val="22"/>
              </w:rPr>
              <w:t xml:space="preserve"> i v rámci pořízení tzv. mimořádné aktualizace, pokud o jejím pořízení a obsahu rozhodne vláda</w:t>
            </w:r>
            <w:r w:rsidRPr="00BA6540">
              <w:rPr>
                <w:rFonts w:asciiTheme="minorHAnsi" w:hAnsiTheme="minorHAnsi"/>
                <w:sz w:val="22"/>
                <w:szCs w:val="22"/>
              </w:rPr>
              <w:t>. PÚR ČR je podle stavebního zákona závazná pro pořizování a vydávání územně plánovací dokumentace krajů a obcí a pro rozhodování v území.</w:t>
            </w:r>
          </w:p>
        </w:tc>
      </w:tr>
    </w:tbl>
    <w:p w14:paraId="487A3753" w14:textId="77777777" w:rsidR="00D1501A" w:rsidRDefault="00D1501A">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BA6540" w:rsidRPr="006B443D" w14:paraId="4ED8A391" w14:textId="77777777" w:rsidTr="00710291">
        <w:tc>
          <w:tcPr>
            <w:tcW w:w="833" w:type="pct"/>
            <w:shd w:val="clear" w:color="auto" w:fill="DBE5F1" w:themeFill="accent1" w:themeFillTint="33"/>
            <w:vAlign w:val="center"/>
          </w:tcPr>
          <w:p w14:paraId="13A93D47" w14:textId="77777777" w:rsidR="00BA6540" w:rsidRPr="006B443D" w:rsidRDefault="00BA6540" w:rsidP="002C5FC9">
            <w:pPr>
              <w:keepNext/>
              <w:jc w:val="center"/>
              <w:rPr>
                <w:rFonts w:asciiTheme="minorHAnsi" w:hAnsiTheme="minorHAnsi"/>
                <w:b/>
                <w:sz w:val="22"/>
                <w:szCs w:val="22"/>
              </w:rPr>
            </w:pPr>
            <w:r w:rsidRPr="006B443D">
              <w:rPr>
                <w:rFonts w:asciiTheme="minorHAnsi" w:hAnsiTheme="minorHAnsi"/>
                <w:b/>
                <w:sz w:val="22"/>
                <w:szCs w:val="22"/>
              </w:rPr>
              <w:lastRenderedPageBreak/>
              <w:t>Nástroj</w:t>
            </w:r>
          </w:p>
        </w:tc>
        <w:tc>
          <w:tcPr>
            <w:tcW w:w="4167" w:type="pct"/>
            <w:shd w:val="clear" w:color="auto" w:fill="DBE5F1" w:themeFill="accent1" w:themeFillTint="33"/>
            <w:vAlign w:val="center"/>
          </w:tcPr>
          <w:p w14:paraId="5EA08344" w14:textId="77777777" w:rsidR="00BA6540" w:rsidRPr="006B443D" w:rsidRDefault="00BA6540" w:rsidP="002C5FC9">
            <w:pPr>
              <w:keepNext/>
              <w:spacing w:before="120" w:after="120"/>
              <w:jc w:val="both"/>
              <w:rPr>
                <w:rFonts w:asciiTheme="minorHAnsi" w:hAnsiTheme="minorHAnsi"/>
                <w:b/>
                <w:sz w:val="22"/>
                <w:szCs w:val="22"/>
              </w:rPr>
            </w:pPr>
            <w:r w:rsidRPr="00BA6540">
              <w:rPr>
                <w:rFonts w:asciiTheme="minorHAnsi" w:hAnsiTheme="minorHAnsi"/>
                <w:b/>
                <w:sz w:val="22"/>
                <w:szCs w:val="22"/>
              </w:rPr>
              <w:t>Zajistit provázanost tvorby SEK a Územních energetických koncepcí</w:t>
            </w:r>
          </w:p>
        </w:tc>
      </w:tr>
      <w:tr w:rsidR="00BA6540" w:rsidRPr="006B443D" w14:paraId="5A05D524" w14:textId="77777777" w:rsidTr="002C5FC9">
        <w:trPr>
          <w:cantSplit/>
        </w:trPr>
        <w:tc>
          <w:tcPr>
            <w:tcW w:w="833" w:type="pct"/>
            <w:vAlign w:val="center"/>
          </w:tcPr>
          <w:p w14:paraId="6807BFAD"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0C512D10" w14:textId="77777777" w:rsidR="00BA6540" w:rsidRPr="00BA6540" w:rsidRDefault="00BA6540" w:rsidP="00BA6540">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A6540">
              <w:rPr>
                <w:rFonts w:asciiTheme="minorHAnsi" w:hAnsiTheme="minorHAnsi"/>
                <w:sz w:val="22"/>
                <w:szCs w:val="22"/>
              </w:rPr>
              <w:t>Vypracovat metodická pravidla pro ÚEK, zadání SEK pro ÚEK jednotlivých krajů.</w:t>
            </w:r>
          </w:p>
          <w:p w14:paraId="213A70CB" w14:textId="77777777" w:rsidR="00BA6540" w:rsidRPr="006B443D" w:rsidRDefault="00BA6540" w:rsidP="00BA6540">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A6540">
              <w:rPr>
                <w:rFonts w:asciiTheme="minorHAnsi" w:hAnsiTheme="minorHAnsi"/>
                <w:sz w:val="22"/>
                <w:szCs w:val="22"/>
              </w:rPr>
              <w:t>Vypracovat a nastavit postup MPO a zpracovatelů při harmonizaci koncepcí (zaměření na energetickou odolnost, teplárenství, autorizace na výstavbu atd.).</w:t>
            </w:r>
          </w:p>
        </w:tc>
      </w:tr>
      <w:tr w:rsidR="00BA6540" w:rsidRPr="006B443D" w14:paraId="1EB68FBC" w14:textId="77777777" w:rsidTr="00710291">
        <w:tc>
          <w:tcPr>
            <w:tcW w:w="833" w:type="pct"/>
            <w:vAlign w:val="center"/>
          </w:tcPr>
          <w:p w14:paraId="2CCEA52A"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0EA302FE" w14:textId="77777777" w:rsidR="00BA6540" w:rsidRPr="006B443D" w:rsidRDefault="00BA6540" w:rsidP="00710291">
            <w:pPr>
              <w:spacing w:before="120" w:after="120"/>
              <w:jc w:val="both"/>
              <w:rPr>
                <w:rFonts w:asciiTheme="minorHAnsi" w:hAnsiTheme="minorHAnsi"/>
                <w:sz w:val="22"/>
                <w:szCs w:val="22"/>
              </w:rPr>
            </w:pPr>
            <w:r>
              <w:rPr>
                <w:rFonts w:asciiTheme="minorHAnsi" w:hAnsiTheme="minorHAnsi"/>
                <w:sz w:val="22"/>
                <w:szCs w:val="22"/>
              </w:rPr>
              <w:t>MPO</w:t>
            </w:r>
          </w:p>
        </w:tc>
      </w:tr>
      <w:tr w:rsidR="00BA6540" w:rsidRPr="006B443D" w14:paraId="3EC6E104" w14:textId="77777777" w:rsidTr="00710291">
        <w:tc>
          <w:tcPr>
            <w:tcW w:w="833" w:type="pct"/>
            <w:vAlign w:val="center"/>
          </w:tcPr>
          <w:p w14:paraId="5CB4E162"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22374E63" w14:textId="77777777" w:rsidR="00BA6540" w:rsidRPr="006B443D" w:rsidRDefault="00BA6540" w:rsidP="00710291">
            <w:pPr>
              <w:spacing w:before="120" w:after="120"/>
              <w:jc w:val="both"/>
              <w:rPr>
                <w:rFonts w:asciiTheme="minorHAnsi" w:hAnsiTheme="minorHAnsi"/>
                <w:sz w:val="22"/>
                <w:szCs w:val="22"/>
              </w:rPr>
            </w:pPr>
            <w:r>
              <w:rPr>
                <w:rFonts w:asciiTheme="minorHAnsi" w:hAnsiTheme="minorHAnsi"/>
                <w:sz w:val="22"/>
                <w:szCs w:val="22"/>
              </w:rPr>
              <w:t>31. 12. 2015</w:t>
            </w:r>
          </w:p>
        </w:tc>
      </w:tr>
      <w:tr w:rsidR="00BA6540" w:rsidRPr="006B443D" w14:paraId="2E6E9B72" w14:textId="77777777" w:rsidTr="00710291">
        <w:tc>
          <w:tcPr>
            <w:tcW w:w="833" w:type="pct"/>
            <w:vAlign w:val="center"/>
          </w:tcPr>
          <w:p w14:paraId="6EB32101"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6906194C" w14:textId="77777777" w:rsidR="00BA6540" w:rsidRPr="00BA6540" w:rsidRDefault="00BA6540" w:rsidP="00BA6540">
            <w:pPr>
              <w:overflowPunct w:val="0"/>
              <w:autoSpaceDE w:val="0"/>
              <w:autoSpaceDN w:val="0"/>
              <w:adjustRightInd w:val="0"/>
              <w:spacing w:before="120" w:after="120"/>
              <w:jc w:val="both"/>
              <w:textAlignment w:val="baseline"/>
              <w:rPr>
                <w:rFonts w:asciiTheme="minorHAnsi" w:hAnsiTheme="minorHAnsi"/>
                <w:b/>
                <w:sz w:val="22"/>
                <w:szCs w:val="22"/>
              </w:rPr>
            </w:pPr>
            <w:r w:rsidRPr="00BA6540">
              <w:rPr>
                <w:rFonts w:asciiTheme="minorHAnsi" w:hAnsiTheme="minorHAnsi"/>
                <w:b/>
                <w:sz w:val="22"/>
                <w:szCs w:val="22"/>
              </w:rPr>
              <w:t>Splněno</w:t>
            </w:r>
          </w:p>
          <w:p w14:paraId="2A057537" w14:textId="4B0BE5F2" w:rsidR="00BA6540" w:rsidRPr="00D1501A" w:rsidRDefault="00077DB1" w:rsidP="00077DB1">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077DB1">
              <w:rPr>
                <w:rFonts w:asciiTheme="minorHAnsi" w:hAnsiTheme="minorHAnsi"/>
                <w:sz w:val="22"/>
                <w:szCs w:val="22"/>
              </w:rPr>
              <w:t>Dne 4. května 2015 byl vydán zákon č. 103/2015 Sb., kterým se mění zákon č.</w:t>
            </w:r>
            <w:r>
              <w:rPr>
                <w:rFonts w:asciiTheme="minorHAnsi" w:hAnsiTheme="minorHAnsi"/>
                <w:sz w:val="22"/>
                <w:szCs w:val="22"/>
              </w:rPr>
              <w:t> </w:t>
            </w:r>
            <w:r w:rsidRPr="00077DB1">
              <w:rPr>
                <w:rFonts w:asciiTheme="minorHAnsi" w:hAnsiTheme="minorHAnsi"/>
                <w:sz w:val="22"/>
                <w:szCs w:val="22"/>
              </w:rPr>
              <w:t>406/2000 Sb., o hospodaření energií, který stanovuje provázanost ÚEK a SEK a</w:t>
            </w:r>
            <w:r>
              <w:rPr>
                <w:rFonts w:asciiTheme="minorHAnsi" w:hAnsiTheme="minorHAnsi"/>
                <w:sz w:val="22"/>
                <w:szCs w:val="22"/>
              </w:rPr>
              <w:t> </w:t>
            </w:r>
            <w:r w:rsidRPr="00077DB1">
              <w:rPr>
                <w:rFonts w:asciiTheme="minorHAnsi" w:hAnsiTheme="minorHAnsi"/>
                <w:sz w:val="22"/>
                <w:szCs w:val="22"/>
              </w:rPr>
              <w:t xml:space="preserve">jímž byl zaveden proces posouzení souladu ÚEK krajů a Hlavního města Prahy se SEK ze strany MPO. Dne </w:t>
            </w:r>
            <w:r>
              <w:rPr>
                <w:rFonts w:asciiTheme="minorHAnsi" w:hAnsiTheme="minorHAnsi"/>
                <w:sz w:val="22"/>
                <w:szCs w:val="22"/>
              </w:rPr>
              <w:t xml:space="preserve">14. září 2015 </w:t>
            </w:r>
            <w:r w:rsidRPr="00077DB1">
              <w:rPr>
                <w:rFonts w:asciiTheme="minorHAnsi" w:hAnsiTheme="minorHAnsi"/>
                <w:sz w:val="22"/>
                <w:szCs w:val="22"/>
              </w:rPr>
              <w:t>bylo</w:t>
            </w:r>
            <w:r>
              <w:rPr>
                <w:rFonts w:asciiTheme="minorHAnsi" w:hAnsiTheme="minorHAnsi"/>
                <w:sz w:val="22"/>
                <w:szCs w:val="22"/>
              </w:rPr>
              <w:t xml:space="preserve"> následně</w:t>
            </w:r>
            <w:r w:rsidRPr="00077DB1">
              <w:rPr>
                <w:rFonts w:asciiTheme="minorHAnsi" w:hAnsiTheme="minorHAnsi"/>
                <w:sz w:val="22"/>
                <w:szCs w:val="22"/>
              </w:rPr>
              <w:t xml:space="preserve"> vydáno nařízení vlády č.</w:t>
            </w:r>
            <w:r>
              <w:rPr>
                <w:rFonts w:asciiTheme="minorHAnsi" w:hAnsiTheme="minorHAnsi"/>
                <w:sz w:val="22"/>
                <w:szCs w:val="22"/>
              </w:rPr>
              <w:t> </w:t>
            </w:r>
            <w:r w:rsidRPr="00077DB1">
              <w:rPr>
                <w:rFonts w:asciiTheme="minorHAnsi" w:hAnsiTheme="minorHAnsi"/>
                <w:sz w:val="22"/>
                <w:szCs w:val="22"/>
              </w:rPr>
              <w:t>232/2015 Sb., o státní energetické koncepci a územní energetické koncepci, které stanovuje obsah a způsob zpracování ÚEK a obsah a strukturu podkladů pro její zpracování a pro zpracování zprávy o jejím uplatňování.</w:t>
            </w:r>
          </w:p>
        </w:tc>
      </w:tr>
    </w:tbl>
    <w:p w14:paraId="644E1D6F" w14:textId="77777777" w:rsidR="00BA6540" w:rsidRDefault="00BA6540">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BA6540" w:rsidRPr="006B443D" w14:paraId="2359020F" w14:textId="77777777" w:rsidTr="00710291">
        <w:tc>
          <w:tcPr>
            <w:tcW w:w="833" w:type="pct"/>
            <w:shd w:val="clear" w:color="auto" w:fill="DBE5F1" w:themeFill="accent1" w:themeFillTint="33"/>
            <w:vAlign w:val="center"/>
          </w:tcPr>
          <w:p w14:paraId="23CC0DEF" w14:textId="77777777" w:rsidR="00BA6540" w:rsidRPr="006B443D" w:rsidRDefault="00BA6540" w:rsidP="002C5FC9">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663F3ECC" w14:textId="77777777" w:rsidR="00BA6540" w:rsidRPr="006B443D" w:rsidRDefault="00BA6540" w:rsidP="002C5FC9">
            <w:pPr>
              <w:keepNext/>
              <w:spacing w:before="120" w:after="120"/>
              <w:jc w:val="both"/>
              <w:rPr>
                <w:rFonts w:asciiTheme="minorHAnsi" w:hAnsiTheme="minorHAnsi"/>
                <w:b/>
                <w:sz w:val="22"/>
                <w:szCs w:val="22"/>
              </w:rPr>
            </w:pPr>
            <w:r w:rsidRPr="00BA6540">
              <w:rPr>
                <w:rFonts w:asciiTheme="minorHAnsi" w:hAnsiTheme="minorHAnsi"/>
                <w:b/>
                <w:sz w:val="22"/>
                <w:szCs w:val="22"/>
              </w:rPr>
              <w:t>Aktualizace ÚEK ve vazbě na SEK</w:t>
            </w:r>
          </w:p>
        </w:tc>
      </w:tr>
      <w:tr w:rsidR="00BA6540" w:rsidRPr="006B443D" w14:paraId="185028F2" w14:textId="77777777" w:rsidTr="00710291">
        <w:tc>
          <w:tcPr>
            <w:tcW w:w="833" w:type="pct"/>
            <w:vAlign w:val="center"/>
          </w:tcPr>
          <w:p w14:paraId="28B0CD25"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21BADA29" w14:textId="1388CD5B" w:rsidR="00BA6540" w:rsidRPr="006B443D" w:rsidRDefault="00BA6540" w:rsidP="002F1E7C">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A6540">
              <w:rPr>
                <w:rFonts w:asciiTheme="minorHAnsi" w:hAnsiTheme="minorHAnsi"/>
                <w:sz w:val="22"/>
                <w:szCs w:val="22"/>
              </w:rPr>
              <w:t>Zajistit aktualizaci ÚEK ve vazbě na SEK a soulad zpracovaných ÚEK a SEK a</w:t>
            </w:r>
            <w:r w:rsidR="002F1E7C">
              <w:rPr>
                <w:rFonts w:asciiTheme="minorHAnsi" w:hAnsiTheme="minorHAnsi"/>
                <w:sz w:val="22"/>
                <w:szCs w:val="22"/>
              </w:rPr>
              <w:t> </w:t>
            </w:r>
            <w:r w:rsidRPr="00BA6540">
              <w:rPr>
                <w:rFonts w:asciiTheme="minorHAnsi" w:hAnsiTheme="minorHAnsi"/>
                <w:sz w:val="22"/>
                <w:szCs w:val="22"/>
              </w:rPr>
              <w:t>zajistit jejich provázanost v součinnosti se zpracovateli</w:t>
            </w:r>
            <w:r>
              <w:rPr>
                <w:rFonts w:asciiTheme="minorHAnsi" w:hAnsiTheme="minorHAnsi"/>
                <w:sz w:val="22"/>
                <w:szCs w:val="22"/>
              </w:rPr>
              <w:t>.</w:t>
            </w:r>
          </w:p>
        </w:tc>
      </w:tr>
      <w:tr w:rsidR="00BA6540" w:rsidRPr="006B443D" w14:paraId="19C47A30" w14:textId="77777777" w:rsidTr="00710291">
        <w:tc>
          <w:tcPr>
            <w:tcW w:w="833" w:type="pct"/>
            <w:vAlign w:val="center"/>
          </w:tcPr>
          <w:p w14:paraId="563F7B6B"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5C6E97DA" w14:textId="77777777" w:rsidR="00BA6540" w:rsidRPr="006B443D" w:rsidRDefault="00BA6540" w:rsidP="00710291">
            <w:pPr>
              <w:spacing w:before="120" w:after="120"/>
              <w:jc w:val="both"/>
              <w:rPr>
                <w:rFonts w:asciiTheme="minorHAnsi" w:hAnsiTheme="minorHAnsi"/>
                <w:sz w:val="22"/>
                <w:szCs w:val="22"/>
              </w:rPr>
            </w:pPr>
            <w:r>
              <w:rPr>
                <w:rFonts w:asciiTheme="minorHAnsi" w:hAnsiTheme="minorHAnsi"/>
                <w:sz w:val="22"/>
                <w:szCs w:val="22"/>
              </w:rPr>
              <w:t>MPO</w:t>
            </w:r>
          </w:p>
        </w:tc>
      </w:tr>
      <w:tr w:rsidR="00BA6540" w:rsidRPr="006B443D" w14:paraId="547E7A8A" w14:textId="77777777" w:rsidTr="00710291">
        <w:tc>
          <w:tcPr>
            <w:tcW w:w="833" w:type="pct"/>
            <w:vAlign w:val="center"/>
          </w:tcPr>
          <w:p w14:paraId="21903DCF"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359FF4C8" w14:textId="77777777" w:rsidR="00BA6540" w:rsidRPr="006B443D" w:rsidRDefault="00BA6540" w:rsidP="00710291">
            <w:pPr>
              <w:spacing w:before="120" w:after="120"/>
              <w:jc w:val="both"/>
              <w:rPr>
                <w:rFonts w:asciiTheme="minorHAnsi" w:hAnsiTheme="minorHAnsi"/>
                <w:sz w:val="22"/>
                <w:szCs w:val="22"/>
              </w:rPr>
            </w:pPr>
            <w:r w:rsidRPr="00BA6540">
              <w:rPr>
                <w:rFonts w:asciiTheme="minorHAnsi" w:hAnsiTheme="minorHAnsi"/>
                <w:sz w:val="22"/>
                <w:szCs w:val="22"/>
              </w:rPr>
              <w:t>do 31. 12. 2019 a pak nejpozději do 2 let po případné aktualizaci SEK</w:t>
            </w:r>
          </w:p>
        </w:tc>
      </w:tr>
      <w:tr w:rsidR="00BA6540" w:rsidRPr="006B443D" w14:paraId="66CF52FD" w14:textId="77777777" w:rsidTr="00710291">
        <w:tc>
          <w:tcPr>
            <w:tcW w:w="833" w:type="pct"/>
            <w:vAlign w:val="center"/>
          </w:tcPr>
          <w:p w14:paraId="132FF0D4"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3136AFB0" w14:textId="44B43B3C" w:rsidR="00BA6540" w:rsidRPr="007A3F51" w:rsidRDefault="00830994" w:rsidP="00BA6540">
            <w:pPr>
              <w:overflowPunct w:val="0"/>
              <w:autoSpaceDE w:val="0"/>
              <w:autoSpaceDN w:val="0"/>
              <w:adjustRightInd w:val="0"/>
              <w:spacing w:before="120" w:after="120"/>
              <w:jc w:val="both"/>
              <w:textAlignment w:val="baseline"/>
              <w:rPr>
                <w:rFonts w:asciiTheme="minorHAnsi" w:hAnsiTheme="minorHAnsi"/>
                <w:b/>
                <w:sz w:val="22"/>
                <w:szCs w:val="22"/>
              </w:rPr>
            </w:pPr>
            <w:r>
              <w:rPr>
                <w:rFonts w:asciiTheme="minorHAnsi" w:hAnsiTheme="minorHAnsi"/>
                <w:b/>
                <w:sz w:val="22"/>
                <w:szCs w:val="22"/>
              </w:rPr>
              <w:t>Plnění probíhá</w:t>
            </w:r>
          </w:p>
          <w:p w14:paraId="19FEAF08" w14:textId="580299FF" w:rsidR="00BA6540" w:rsidRPr="00BA6540" w:rsidRDefault="00830994" w:rsidP="00830994">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830994">
              <w:rPr>
                <w:rFonts w:asciiTheme="minorHAnsi" w:hAnsiTheme="minorHAnsi"/>
                <w:sz w:val="22"/>
                <w:szCs w:val="22"/>
              </w:rPr>
              <w:t>Dne 4. května 2015 byl vydán zákon č. 103/2015 Sb., kterým se mění zákon č.</w:t>
            </w:r>
            <w:r>
              <w:rPr>
                <w:rFonts w:asciiTheme="minorHAnsi" w:hAnsiTheme="minorHAnsi"/>
                <w:sz w:val="22"/>
                <w:szCs w:val="22"/>
              </w:rPr>
              <w:t> </w:t>
            </w:r>
            <w:r w:rsidRPr="00830994">
              <w:rPr>
                <w:rFonts w:asciiTheme="minorHAnsi" w:hAnsiTheme="minorHAnsi"/>
                <w:sz w:val="22"/>
                <w:szCs w:val="22"/>
              </w:rPr>
              <w:t>406/2000 Sb., o hospodaření energií, a který stanovuje provázanost ÚEK a</w:t>
            </w:r>
            <w:r>
              <w:rPr>
                <w:rFonts w:asciiTheme="minorHAnsi" w:hAnsiTheme="minorHAnsi"/>
                <w:sz w:val="22"/>
                <w:szCs w:val="22"/>
              </w:rPr>
              <w:t> </w:t>
            </w:r>
            <w:r w:rsidRPr="00830994">
              <w:rPr>
                <w:rFonts w:asciiTheme="minorHAnsi" w:hAnsiTheme="minorHAnsi"/>
                <w:sz w:val="22"/>
                <w:szCs w:val="22"/>
              </w:rPr>
              <w:t>SEK, zavádí proces posouzení souladu ÚEK krajů a Hlavního města Prahy s</w:t>
            </w:r>
            <w:r>
              <w:rPr>
                <w:rFonts w:asciiTheme="minorHAnsi" w:hAnsiTheme="minorHAnsi"/>
                <w:sz w:val="22"/>
                <w:szCs w:val="22"/>
              </w:rPr>
              <w:t> </w:t>
            </w:r>
            <w:r w:rsidRPr="00830994">
              <w:rPr>
                <w:rFonts w:asciiTheme="minorHAnsi" w:hAnsiTheme="minorHAnsi"/>
                <w:sz w:val="22"/>
                <w:szCs w:val="22"/>
              </w:rPr>
              <w:t>platnou SEK ze strany MPO</w:t>
            </w:r>
            <w:r w:rsidR="009B705C">
              <w:rPr>
                <w:rFonts w:asciiTheme="minorHAnsi" w:hAnsiTheme="minorHAnsi"/>
                <w:sz w:val="22"/>
                <w:szCs w:val="22"/>
              </w:rPr>
              <w:t>. V</w:t>
            </w:r>
            <w:r w:rsidRPr="00830994">
              <w:rPr>
                <w:rFonts w:asciiTheme="minorHAnsi" w:hAnsiTheme="minorHAnsi"/>
                <w:sz w:val="22"/>
                <w:szCs w:val="22"/>
              </w:rPr>
              <w:t xml:space="preserve">e svých přechodných ustanoveních </w:t>
            </w:r>
            <w:r w:rsidR="009B705C">
              <w:rPr>
                <w:rFonts w:asciiTheme="minorHAnsi" w:hAnsiTheme="minorHAnsi"/>
                <w:sz w:val="22"/>
                <w:szCs w:val="22"/>
              </w:rPr>
              <w:t xml:space="preserve">pak tento zákon také uložil </w:t>
            </w:r>
            <w:r w:rsidRPr="00830994">
              <w:rPr>
                <w:rFonts w:asciiTheme="minorHAnsi" w:hAnsiTheme="minorHAnsi"/>
                <w:sz w:val="22"/>
                <w:szCs w:val="22"/>
              </w:rPr>
              <w:t>krajům a Hlavnímu městu Praze povinnost zpracovat zprávu o</w:t>
            </w:r>
            <w:r w:rsidR="009B705C">
              <w:rPr>
                <w:rFonts w:asciiTheme="minorHAnsi" w:hAnsiTheme="minorHAnsi"/>
                <w:sz w:val="22"/>
                <w:szCs w:val="22"/>
              </w:rPr>
              <w:t> </w:t>
            </w:r>
            <w:r w:rsidRPr="00830994">
              <w:rPr>
                <w:rFonts w:asciiTheme="minorHAnsi" w:hAnsiTheme="minorHAnsi"/>
                <w:sz w:val="22"/>
                <w:szCs w:val="22"/>
              </w:rPr>
              <w:t>uplatňování ÚEK (prakticky do 1. července 2017)</w:t>
            </w:r>
            <w:r w:rsidR="00E61F05">
              <w:rPr>
                <w:rFonts w:asciiTheme="minorHAnsi" w:hAnsiTheme="minorHAnsi"/>
                <w:sz w:val="22"/>
                <w:szCs w:val="22"/>
              </w:rPr>
              <w:t xml:space="preserve"> </w:t>
            </w:r>
            <w:r w:rsidR="004D6B87">
              <w:rPr>
                <w:rFonts w:asciiTheme="minorHAnsi" w:hAnsiTheme="minorHAnsi"/>
                <w:sz w:val="22"/>
                <w:szCs w:val="22"/>
              </w:rPr>
              <w:t>s cílem</w:t>
            </w:r>
            <w:r>
              <w:rPr>
                <w:rFonts w:asciiTheme="minorHAnsi" w:hAnsiTheme="minorHAnsi"/>
                <w:sz w:val="22"/>
                <w:szCs w:val="22"/>
              </w:rPr>
              <w:t xml:space="preserve"> vyhodnotit mimo jiné i</w:t>
            </w:r>
            <w:r w:rsidRPr="00830994">
              <w:rPr>
                <w:rFonts w:asciiTheme="minorHAnsi" w:hAnsiTheme="minorHAnsi"/>
                <w:sz w:val="22"/>
                <w:szCs w:val="22"/>
              </w:rPr>
              <w:t xml:space="preserve"> platnost ÚEK ve vztahu k nově schválené SEK.</w:t>
            </w:r>
          </w:p>
          <w:p w14:paraId="5A8D934E" w14:textId="3B8C1200" w:rsidR="00BA6540" w:rsidRPr="00BA6540" w:rsidRDefault="00BA6540" w:rsidP="00BA6540">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A6540">
              <w:rPr>
                <w:rFonts w:asciiTheme="minorHAnsi" w:hAnsiTheme="minorHAnsi"/>
                <w:sz w:val="22"/>
                <w:szCs w:val="22"/>
              </w:rPr>
              <w:t>Kraj</w:t>
            </w:r>
            <w:r w:rsidR="009D1D20">
              <w:rPr>
                <w:rFonts w:asciiTheme="minorHAnsi" w:hAnsiTheme="minorHAnsi"/>
                <w:sz w:val="22"/>
                <w:szCs w:val="22"/>
              </w:rPr>
              <w:t>ské úřady</w:t>
            </w:r>
            <w:r w:rsidRPr="00BA6540">
              <w:rPr>
                <w:rFonts w:asciiTheme="minorHAnsi" w:hAnsiTheme="minorHAnsi"/>
                <w:sz w:val="22"/>
                <w:szCs w:val="22"/>
              </w:rPr>
              <w:t xml:space="preserve"> byly osloveny dopisem ze dne 7. září 2015 a informovány o všech zásadních změnách vyplývajících z novelizace zákona a z vydání nařízení vlády o</w:t>
            </w:r>
            <w:r w:rsidR="002F1E7C">
              <w:rPr>
                <w:rFonts w:asciiTheme="minorHAnsi" w:hAnsiTheme="minorHAnsi"/>
                <w:sz w:val="22"/>
                <w:szCs w:val="22"/>
              </w:rPr>
              <w:t> </w:t>
            </w:r>
            <w:r w:rsidRPr="00BA6540">
              <w:rPr>
                <w:rFonts w:asciiTheme="minorHAnsi" w:hAnsiTheme="minorHAnsi"/>
                <w:sz w:val="22"/>
                <w:szCs w:val="22"/>
              </w:rPr>
              <w:t>SEK a ÚEK a také o významu schválení SEK. Dne 27. ledna 2016 byl uskutečněn seminář pro zástupce krajů, na kterém byla problematika zpracování zpráv o</w:t>
            </w:r>
            <w:r w:rsidR="002F1E7C">
              <w:rPr>
                <w:rFonts w:asciiTheme="minorHAnsi" w:hAnsiTheme="minorHAnsi"/>
                <w:sz w:val="22"/>
                <w:szCs w:val="22"/>
              </w:rPr>
              <w:t> </w:t>
            </w:r>
            <w:r w:rsidRPr="00BA6540">
              <w:rPr>
                <w:rFonts w:asciiTheme="minorHAnsi" w:hAnsiTheme="minorHAnsi"/>
                <w:sz w:val="22"/>
                <w:szCs w:val="22"/>
              </w:rPr>
              <w:t>upla</w:t>
            </w:r>
            <w:r>
              <w:rPr>
                <w:rFonts w:asciiTheme="minorHAnsi" w:hAnsiTheme="minorHAnsi"/>
                <w:sz w:val="22"/>
                <w:szCs w:val="22"/>
              </w:rPr>
              <w:t>tň</w:t>
            </w:r>
            <w:r w:rsidRPr="00BA6540">
              <w:rPr>
                <w:rFonts w:asciiTheme="minorHAnsi" w:hAnsiTheme="minorHAnsi"/>
                <w:sz w:val="22"/>
                <w:szCs w:val="22"/>
              </w:rPr>
              <w:t>ování ÚEK a samotných ÚEK diskutována</w:t>
            </w:r>
            <w:r w:rsidRPr="00A31D9C">
              <w:rPr>
                <w:rFonts w:asciiTheme="minorHAnsi" w:hAnsiTheme="minorHAnsi"/>
                <w:sz w:val="22"/>
                <w:szCs w:val="22"/>
              </w:rPr>
              <w:t xml:space="preserve">. </w:t>
            </w:r>
            <w:r w:rsidR="00A31D9C">
              <w:rPr>
                <w:rFonts w:asciiTheme="minorHAnsi" w:hAnsiTheme="minorHAnsi"/>
                <w:sz w:val="22"/>
                <w:szCs w:val="22"/>
              </w:rPr>
              <w:t>V období let 2016 až 201</w:t>
            </w:r>
            <w:r w:rsidR="004D6B87">
              <w:rPr>
                <w:rFonts w:asciiTheme="minorHAnsi" w:hAnsiTheme="minorHAnsi"/>
                <w:sz w:val="22"/>
                <w:szCs w:val="22"/>
              </w:rPr>
              <w:t>8</w:t>
            </w:r>
            <w:r w:rsidR="00A31D9C">
              <w:rPr>
                <w:rFonts w:asciiTheme="minorHAnsi" w:hAnsiTheme="minorHAnsi"/>
                <w:sz w:val="22"/>
                <w:szCs w:val="22"/>
              </w:rPr>
              <w:t xml:space="preserve"> došlo ke zpracování zp</w:t>
            </w:r>
            <w:r w:rsidR="002B4828">
              <w:rPr>
                <w:rFonts w:asciiTheme="minorHAnsi" w:hAnsiTheme="minorHAnsi"/>
                <w:sz w:val="22"/>
                <w:szCs w:val="22"/>
              </w:rPr>
              <w:t xml:space="preserve">ráv o uplatňování ÚEK ze strany </w:t>
            </w:r>
            <w:r w:rsidR="004D6B87">
              <w:rPr>
                <w:rFonts w:asciiTheme="minorHAnsi" w:hAnsiTheme="minorHAnsi"/>
                <w:sz w:val="22"/>
                <w:szCs w:val="22"/>
              </w:rPr>
              <w:t>téměř všech</w:t>
            </w:r>
            <w:r w:rsidR="00A31D9C">
              <w:rPr>
                <w:rFonts w:asciiTheme="minorHAnsi" w:hAnsiTheme="minorHAnsi"/>
                <w:sz w:val="22"/>
                <w:szCs w:val="22"/>
              </w:rPr>
              <w:t xml:space="preserve"> krajů </w:t>
            </w:r>
            <w:r w:rsidR="004D6B87">
              <w:rPr>
                <w:rFonts w:asciiTheme="minorHAnsi" w:hAnsiTheme="minorHAnsi"/>
                <w:sz w:val="22"/>
                <w:szCs w:val="22"/>
              </w:rPr>
              <w:t xml:space="preserve">včetně Hlavního města Prahy </w:t>
            </w:r>
            <w:r w:rsidR="00A31D9C">
              <w:rPr>
                <w:rFonts w:asciiTheme="minorHAnsi" w:hAnsiTheme="minorHAnsi"/>
                <w:sz w:val="22"/>
                <w:szCs w:val="22"/>
              </w:rPr>
              <w:t>a a</w:t>
            </w:r>
            <w:r w:rsidRPr="00A31D9C">
              <w:rPr>
                <w:rFonts w:asciiTheme="minorHAnsi" w:hAnsiTheme="minorHAnsi"/>
                <w:sz w:val="22"/>
                <w:szCs w:val="22"/>
              </w:rPr>
              <w:t>ktuálně dochází</w:t>
            </w:r>
            <w:r w:rsidR="00A31D9C">
              <w:rPr>
                <w:rFonts w:asciiTheme="minorHAnsi" w:hAnsiTheme="minorHAnsi"/>
                <w:sz w:val="22"/>
                <w:szCs w:val="22"/>
              </w:rPr>
              <w:t xml:space="preserve"> </w:t>
            </w:r>
            <w:r w:rsidRPr="00A31D9C">
              <w:rPr>
                <w:rFonts w:asciiTheme="minorHAnsi" w:hAnsiTheme="minorHAnsi"/>
                <w:sz w:val="22"/>
                <w:szCs w:val="22"/>
              </w:rPr>
              <w:t>k</w:t>
            </w:r>
            <w:r w:rsidR="002F1E7C" w:rsidRPr="00A31D9C">
              <w:rPr>
                <w:rFonts w:asciiTheme="minorHAnsi" w:hAnsiTheme="minorHAnsi"/>
                <w:sz w:val="22"/>
                <w:szCs w:val="22"/>
              </w:rPr>
              <w:t> </w:t>
            </w:r>
            <w:r w:rsidRPr="00A31D9C">
              <w:rPr>
                <w:rFonts w:asciiTheme="minorHAnsi" w:hAnsiTheme="minorHAnsi"/>
                <w:sz w:val="22"/>
                <w:szCs w:val="22"/>
              </w:rPr>
              <w:t xml:space="preserve">postupné aktualizaci, či zpracování nových, </w:t>
            </w:r>
            <w:r w:rsidR="002B4828">
              <w:rPr>
                <w:rFonts w:asciiTheme="minorHAnsi" w:hAnsiTheme="minorHAnsi"/>
                <w:sz w:val="22"/>
                <w:szCs w:val="22"/>
              </w:rPr>
              <w:t xml:space="preserve">krajských </w:t>
            </w:r>
            <w:r w:rsidRPr="00A31D9C">
              <w:rPr>
                <w:rFonts w:asciiTheme="minorHAnsi" w:hAnsiTheme="minorHAnsi"/>
                <w:sz w:val="22"/>
                <w:szCs w:val="22"/>
              </w:rPr>
              <w:t>ÚEK.</w:t>
            </w:r>
          </w:p>
          <w:p w14:paraId="04590988" w14:textId="2213A076" w:rsidR="00BA6540" w:rsidRPr="00D1501A" w:rsidRDefault="00BA6540" w:rsidP="002B4828">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A6540">
              <w:rPr>
                <w:rFonts w:asciiTheme="minorHAnsi" w:hAnsiTheme="minorHAnsi"/>
                <w:sz w:val="22"/>
                <w:szCs w:val="22"/>
              </w:rPr>
              <w:t>Případná další aktualizace SEK se promítne</w:t>
            </w:r>
            <w:r w:rsidR="002B4828">
              <w:rPr>
                <w:rFonts w:asciiTheme="minorHAnsi" w:hAnsiTheme="minorHAnsi"/>
                <w:sz w:val="22"/>
                <w:szCs w:val="22"/>
              </w:rPr>
              <w:t xml:space="preserve"> do</w:t>
            </w:r>
            <w:r w:rsidRPr="00BA6540">
              <w:rPr>
                <w:rFonts w:asciiTheme="minorHAnsi" w:hAnsiTheme="minorHAnsi"/>
                <w:sz w:val="22"/>
                <w:szCs w:val="22"/>
              </w:rPr>
              <w:t xml:space="preserve"> v budoucnu zpracovávaných zpráv o uplatňování ÚEK krajů a Hlavního města Prahy, které mají být podle zákona č. 406/2000 Sb., o hospodaření energií, ve znění pozdějších předpisů, zpracovávány nejméně jedenkrát za 5 let.</w:t>
            </w:r>
          </w:p>
        </w:tc>
      </w:tr>
    </w:tbl>
    <w:p w14:paraId="3AAF90AC" w14:textId="77777777" w:rsidR="00BA6540" w:rsidRDefault="00BA6540">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BA6540" w:rsidRPr="006B443D" w14:paraId="78393841" w14:textId="77777777" w:rsidTr="00710291">
        <w:tc>
          <w:tcPr>
            <w:tcW w:w="833" w:type="pct"/>
            <w:shd w:val="clear" w:color="auto" w:fill="DBE5F1" w:themeFill="accent1" w:themeFillTint="33"/>
            <w:vAlign w:val="center"/>
          </w:tcPr>
          <w:p w14:paraId="7C4DEB60" w14:textId="77777777" w:rsidR="00BA6540" w:rsidRPr="006B443D" w:rsidRDefault="00BA6540" w:rsidP="002C5FC9">
            <w:pPr>
              <w:keepNext/>
              <w:jc w:val="center"/>
              <w:rPr>
                <w:rFonts w:asciiTheme="minorHAnsi" w:hAnsiTheme="minorHAnsi"/>
                <w:b/>
                <w:sz w:val="22"/>
                <w:szCs w:val="22"/>
              </w:rPr>
            </w:pPr>
            <w:r w:rsidRPr="006B443D">
              <w:rPr>
                <w:rFonts w:asciiTheme="minorHAnsi" w:hAnsiTheme="minorHAnsi"/>
                <w:b/>
                <w:sz w:val="22"/>
                <w:szCs w:val="22"/>
              </w:rPr>
              <w:lastRenderedPageBreak/>
              <w:t>Nástroj</w:t>
            </w:r>
          </w:p>
        </w:tc>
        <w:tc>
          <w:tcPr>
            <w:tcW w:w="4167" w:type="pct"/>
            <w:shd w:val="clear" w:color="auto" w:fill="DBE5F1" w:themeFill="accent1" w:themeFillTint="33"/>
            <w:vAlign w:val="center"/>
          </w:tcPr>
          <w:p w14:paraId="544BBA5C" w14:textId="77777777" w:rsidR="00BA6540" w:rsidRPr="006B443D" w:rsidRDefault="00BA6540" w:rsidP="002C5FC9">
            <w:pPr>
              <w:keepNext/>
              <w:spacing w:before="120" w:after="120"/>
              <w:jc w:val="both"/>
              <w:rPr>
                <w:rFonts w:asciiTheme="minorHAnsi" w:hAnsiTheme="minorHAnsi"/>
                <w:b/>
                <w:sz w:val="22"/>
                <w:szCs w:val="22"/>
              </w:rPr>
            </w:pPr>
            <w:r w:rsidRPr="00BA6540">
              <w:rPr>
                <w:rFonts w:asciiTheme="minorHAnsi" w:hAnsiTheme="minorHAnsi"/>
                <w:b/>
                <w:sz w:val="22"/>
                <w:szCs w:val="22"/>
              </w:rPr>
              <w:t>Aktualizace desetiletých plánů rozvoje přenosové a přepravní soustavy</w:t>
            </w:r>
          </w:p>
        </w:tc>
      </w:tr>
      <w:tr w:rsidR="00BA6540" w:rsidRPr="006B443D" w14:paraId="6F12E5C2" w14:textId="77777777" w:rsidTr="00710291">
        <w:tc>
          <w:tcPr>
            <w:tcW w:w="833" w:type="pct"/>
            <w:vAlign w:val="center"/>
          </w:tcPr>
          <w:p w14:paraId="463017D7"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3E0F6142" w14:textId="77777777" w:rsidR="00BA6540" w:rsidRPr="006B443D" w:rsidRDefault="00BA6540" w:rsidP="00BA6540">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A6540">
              <w:rPr>
                <w:rFonts w:asciiTheme="minorHAnsi" w:hAnsiTheme="minorHAnsi"/>
                <w:sz w:val="22"/>
                <w:szCs w:val="22"/>
              </w:rPr>
              <w:t>Zajištění jejich souladu se záměry Státní energetické koncepce a surovinové politiky a to včetně zařazení investic realizovaných za účelem zajištění bezpečnosti dodávek elektřiny a plynu.</w:t>
            </w:r>
          </w:p>
        </w:tc>
      </w:tr>
      <w:tr w:rsidR="00BA6540" w:rsidRPr="006B443D" w14:paraId="3D014093" w14:textId="77777777" w:rsidTr="00710291">
        <w:tc>
          <w:tcPr>
            <w:tcW w:w="833" w:type="pct"/>
            <w:vAlign w:val="center"/>
          </w:tcPr>
          <w:p w14:paraId="430539F0"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3A8C8CC5" w14:textId="77777777" w:rsidR="00BA6540" w:rsidRPr="006B443D" w:rsidRDefault="00BA6540" w:rsidP="00710291">
            <w:pPr>
              <w:spacing w:before="120" w:after="120"/>
              <w:jc w:val="both"/>
              <w:rPr>
                <w:rFonts w:asciiTheme="minorHAnsi" w:hAnsiTheme="minorHAnsi"/>
                <w:sz w:val="22"/>
                <w:szCs w:val="22"/>
              </w:rPr>
            </w:pPr>
            <w:r>
              <w:rPr>
                <w:rFonts w:asciiTheme="minorHAnsi" w:hAnsiTheme="minorHAnsi"/>
                <w:sz w:val="22"/>
                <w:szCs w:val="22"/>
              </w:rPr>
              <w:t>ERÚ, MPO</w:t>
            </w:r>
          </w:p>
        </w:tc>
      </w:tr>
      <w:tr w:rsidR="00BA6540" w:rsidRPr="006B443D" w14:paraId="37E642C6" w14:textId="77777777" w:rsidTr="00710291">
        <w:tc>
          <w:tcPr>
            <w:tcW w:w="833" w:type="pct"/>
            <w:vAlign w:val="center"/>
          </w:tcPr>
          <w:p w14:paraId="74172D87"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383A83FD" w14:textId="77777777" w:rsidR="00BA6540" w:rsidRPr="006B443D" w:rsidRDefault="00BA6540" w:rsidP="00710291">
            <w:pPr>
              <w:spacing w:before="120" w:after="120"/>
              <w:jc w:val="both"/>
              <w:rPr>
                <w:rFonts w:asciiTheme="minorHAnsi" w:hAnsiTheme="minorHAnsi"/>
                <w:sz w:val="22"/>
                <w:szCs w:val="22"/>
              </w:rPr>
            </w:pPr>
            <w:r>
              <w:rPr>
                <w:rFonts w:asciiTheme="minorHAnsi" w:hAnsiTheme="minorHAnsi"/>
                <w:sz w:val="22"/>
                <w:szCs w:val="22"/>
              </w:rPr>
              <w:t>každoročně</w:t>
            </w:r>
          </w:p>
        </w:tc>
      </w:tr>
      <w:tr w:rsidR="00BA6540" w:rsidRPr="006B443D" w14:paraId="60DA6F5E" w14:textId="77777777" w:rsidTr="00710291">
        <w:tc>
          <w:tcPr>
            <w:tcW w:w="833" w:type="pct"/>
            <w:vAlign w:val="center"/>
          </w:tcPr>
          <w:p w14:paraId="179C72CF"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67ED309C" w14:textId="77777777" w:rsidR="00BA6540" w:rsidRPr="00BA6540" w:rsidRDefault="00BA6540" w:rsidP="00BA6540">
            <w:pPr>
              <w:overflowPunct w:val="0"/>
              <w:autoSpaceDE w:val="0"/>
              <w:autoSpaceDN w:val="0"/>
              <w:adjustRightInd w:val="0"/>
              <w:spacing w:before="120" w:after="120"/>
              <w:jc w:val="both"/>
              <w:textAlignment w:val="baseline"/>
              <w:rPr>
                <w:rFonts w:asciiTheme="minorHAnsi" w:hAnsiTheme="minorHAnsi"/>
                <w:b/>
                <w:sz w:val="22"/>
                <w:szCs w:val="22"/>
              </w:rPr>
            </w:pPr>
            <w:r w:rsidRPr="00BA6540">
              <w:rPr>
                <w:rFonts w:asciiTheme="minorHAnsi" w:hAnsiTheme="minorHAnsi"/>
                <w:b/>
                <w:sz w:val="22"/>
                <w:szCs w:val="22"/>
              </w:rPr>
              <w:t>Plněno průběžně</w:t>
            </w:r>
          </w:p>
          <w:p w14:paraId="116EC078" w14:textId="0F7A9D63" w:rsidR="00BA6540" w:rsidRPr="00D1501A" w:rsidRDefault="00BA6540" w:rsidP="00CB16ED">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A6540">
              <w:rPr>
                <w:rFonts w:asciiTheme="minorHAnsi" w:hAnsiTheme="minorHAnsi"/>
                <w:sz w:val="22"/>
                <w:szCs w:val="22"/>
              </w:rPr>
              <w:t xml:space="preserve">Každoroční aktualizace </w:t>
            </w:r>
            <w:r w:rsidR="00EA444A">
              <w:rPr>
                <w:rFonts w:asciiTheme="minorHAnsi" w:hAnsiTheme="minorHAnsi"/>
                <w:sz w:val="22"/>
                <w:szCs w:val="22"/>
              </w:rPr>
              <w:t xml:space="preserve">desetiletých plánů rozvoje přepravní soustavy a bienální aktualizace desetiletých plánů rozvoje přenosové soustavy </w:t>
            </w:r>
            <w:r w:rsidRPr="00BA6540">
              <w:rPr>
                <w:rFonts w:asciiTheme="minorHAnsi" w:hAnsiTheme="minorHAnsi"/>
                <w:sz w:val="22"/>
                <w:szCs w:val="22"/>
              </w:rPr>
              <w:t>probíhá v souladu se zákonem č. 458/2000 Sb., o</w:t>
            </w:r>
            <w:r w:rsidR="002F1E7C">
              <w:rPr>
                <w:rFonts w:asciiTheme="minorHAnsi" w:hAnsiTheme="minorHAnsi"/>
                <w:sz w:val="22"/>
                <w:szCs w:val="22"/>
              </w:rPr>
              <w:t> </w:t>
            </w:r>
            <w:r w:rsidRPr="00BA6540">
              <w:rPr>
                <w:rFonts w:asciiTheme="minorHAnsi" w:hAnsiTheme="minorHAnsi"/>
                <w:sz w:val="22"/>
                <w:szCs w:val="22"/>
              </w:rPr>
              <w:t>podmínkách podnikání a o výkonu státní správy v</w:t>
            </w:r>
            <w:r w:rsidR="00EA444A">
              <w:rPr>
                <w:rFonts w:asciiTheme="minorHAnsi" w:hAnsiTheme="minorHAnsi"/>
                <w:sz w:val="22"/>
                <w:szCs w:val="22"/>
              </w:rPr>
              <w:t> </w:t>
            </w:r>
            <w:r w:rsidRPr="00BA6540">
              <w:rPr>
                <w:rFonts w:asciiTheme="minorHAnsi" w:hAnsiTheme="minorHAnsi"/>
                <w:sz w:val="22"/>
                <w:szCs w:val="22"/>
              </w:rPr>
              <w:t>energetických odvětvích,</w:t>
            </w:r>
            <w:r w:rsidR="002B4828">
              <w:rPr>
                <w:rFonts w:asciiTheme="minorHAnsi" w:hAnsiTheme="minorHAnsi"/>
                <w:sz w:val="22"/>
                <w:szCs w:val="22"/>
              </w:rPr>
              <w:t xml:space="preserve"> ve znění pozdějších předpisů,</w:t>
            </w:r>
            <w:r w:rsidRPr="00BA6540">
              <w:rPr>
                <w:rFonts w:asciiTheme="minorHAnsi" w:hAnsiTheme="minorHAnsi"/>
                <w:sz w:val="22"/>
                <w:szCs w:val="22"/>
              </w:rPr>
              <w:t xml:space="preserve"> na základě jehož ustanovení MPO vydává k plánům stanovisko</w:t>
            </w:r>
            <w:r w:rsidR="00EA444A">
              <w:rPr>
                <w:rFonts w:asciiTheme="minorHAnsi" w:hAnsiTheme="minorHAnsi"/>
                <w:sz w:val="22"/>
                <w:szCs w:val="22"/>
              </w:rPr>
              <w:t xml:space="preserve"> závazné pro předkladatele</w:t>
            </w:r>
            <w:r w:rsidRPr="00BA6540">
              <w:rPr>
                <w:rFonts w:asciiTheme="minorHAnsi" w:hAnsiTheme="minorHAnsi"/>
                <w:sz w:val="22"/>
                <w:szCs w:val="22"/>
              </w:rPr>
              <w:t xml:space="preserve"> a</w:t>
            </w:r>
            <w:r w:rsidR="00CB16ED">
              <w:rPr>
                <w:rFonts w:asciiTheme="minorHAnsi" w:hAnsiTheme="minorHAnsi"/>
                <w:sz w:val="22"/>
                <w:szCs w:val="22"/>
              </w:rPr>
              <w:t xml:space="preserve"> </w:t>
            </w:r>
            <w:r w:rsidRPr="00BA6540">
              <w:rPr>
                <w:rFonts w:asciiTheme="minorHAnsi" w:hAnsiTheme="minorHAnsi"/>
                <w:sz w:val="22"/>
                <w:szCs w:val="22"/>
              </w:rPr>
              <w:t>plány schvaluje ERÚ.</w:t>
            </w:r>
          </w:p>
        </w:tc>
      </w:tr>
    </w:tbl>
    <w:p w14:paraId="36EF56B2" w14:textId="77777777" w:rsidR="00BA6540" w:rsidRDefault="00BA6540">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BA6540" w:rsidRPr="006B443D" w14:paraId="4B1C97DE" w14:textId="77777777" w:rsidTr="00710291">
        <w:tc>
          <w:tcPr>
            <w:tcW w:w="833" w:type="pct"/>
            <w:shd w:val="clear" w:color="auto" w:fill="DBE5F1" w:themeFill="accent1" w:themeFillTint="33"/>
            <w:vAlign w:val="center"/>
          </w:tcPr>
          <w:p w14:paraId="16DDB392" w14:textId="77777777" w:rsidR="00BA6540" w:rsidRPr="006B443D" w:rsidRDefault="00BA6540" w:rsidP="002C5FC9">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523EB7C3" w14:textId="77777777" w:rsidR="00BA6540" w:rsidRPr="006B443D" w:rsidRDefault="00BA6540" w:rsidP="002C5FC9">
            <w:pPr>
              <w:keepNext/>
              <w:spacing w:before="120" w:after="120"/>
              <w:jc w:val="both"/>
              <w:rPr>
                <w:rFonts w:asciiTheme="minorHAnsi" w:hAnsiTheme="minorHAnsi"/>
                <w:b/>
                <w:sz w:val="22"/>
                <w:szCs w:val="22"/>
              </w:rPr>
            </w:pPr>
            <w:r w:rsidRPr="00BA6540">
              <w:rPr>
                <w:rFonts w:asciiTheme="minorHAnsi" w:hAnsiTheme="minorHAnsi"/>
                <w:b/>
                <w:sz w:val="22"/>
                <w:szCs w:val="22"/>
              </w:rPr>
              <w:t>Zpracovat koncepci zásobování ropou a ropnými produkty</w:t>
            </w:r>
          </w:p>
        </w:tc>
      </w:tr>
      <w:tr w:rsidR="00BA6540" w:rsidRPr="006B443D" w14:paraId="4B608B93" w14:textId="77777777" w:rsidTr="00710291">
        <w:tc>
          <w:tcPr>
            <w:tcW w:w="833" w:type="pct"/>
            <w:vAlign w:val="center"/>
          </w:tcPr>
          <w:p w14:paraId="22FB0C4C"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141381A0" w14:textId="77777777" w:rsidR="00BA6540" w:rsidRPr="006B443D" w:rsidRDefault="00BA6540" w:rsidP="00BA6540">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A6540">
              <w:rPr>
                <w:rFonts w:asciiTheme="minorHAnsi" w:hAnsiTheme="minorHAnsi"/>
                <w:sz w:val="22"/>
                <w:szCs w:val="22"/>
              </w:rPr>
              <w:t>Zpracovat koncepci zásobování ropou a ropnými produkty (doprava, zpracovací kapacity, distribuce ropných produktů, organizační a vlastnická struktura společností v ropném sektoru) v návaznosti na SEK a předložit vládě ČR ke schválení.</w:t>
            </w:r>
          </w:p>
        </w:tc>
      </w:tr>
      <w:tr w:rsidR="00BA6540" w:rsidRPr="006B443D" w14:paraId="5B26533E" w14:textId="77777777" w:rsidTr="00710291">
        <w:tc>
          <w:tcPr>
            <w:tcW w:w="833" w:type="pct"/>
            <w:vAlign w:val="center"/>
          </w:tcPr>
          <w:p w14:paraId="51D765EF"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4F6E725E" w14:textId="77777777" w:rsidR="00BA6540" w:rsidRPr="006B443D" w:rsidRDefault="00BA6540" w:rsidP="00710291">
            <w:pPr>
              <w:spacing w:before="120" w:after="120"/>
              <w:jc w:val="both"/>
              <w:rPr>
                <w:rFonts w:asciiTheme="minorHAnsi" w:hAnsiTheme="minorHAnsi"/>
                <w:sz w:val="22"/>
                <w:szCs w:val="22"/>
              </w:rPr>
            </w:pPr>
            <w:r w:rsidRPr="00BA6540">
              <w:rPr>
                <w:rFonts w:asciiTheme="minorHAnsi" w:hAnsiTheme="minorHAnsi"/>
                <w:sz w:val="22"/>
                <w:szCs w:val="22"/>
              </w:rPr>
              <w:t>MPO, v součinnosti se SSHR</w:t>
            </w:r>
          </w:p>
        </w:tc>
      </w:tr>
      <w:tr w:rsidR="00BA6540" w:rsidRPr="006B443D" w14:paraId="72ED734A" w14:textId="77777777" w:rsidTr="00710291">
        <w:tc>
          <w:tcPr>
            <w:tcW w:w="833" w:type="pct"/>
            <w:vAlign w:val="center"/>
          </w:tcPr>
          <w:p w14:paraId="68545C38"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0762C35D" w14:textId="77777777" w:rsidR="00BA6540" w:rsidRPr="006B443D" w:rsidRDefault="00BA6540" w:rsidP="00710291">
            <w:pPr>
              <w:spacing w:before="120" w:after="120"/>
              <w:jc w:val="both"/>
              <w:rPr>
                <w:rFonts w:asciiTheme="minorHAnsi" w:hAnsiTheme="minorHAnsi"/>
                <w:sz w:val="22"/>
                <w:szCs w:val="22"/>
              </w:rPr>
            </w:pPr>
            <w:r w:rsidRPr="00BA6540">
              <w:rPr>
                <w:rFonts w:asciiTheme="minorHAnsi" w:hAnsiTheme="minorHAnsi"/>
                <w:sz w:val="22"/>
                <w:szCs w:val="22"/>
              </w:rPr>
              <w:t>do 31. 12. 2015</w:t>
            </w:r>
          </w:p>
        </w:tc>
      </w:tr>
      <w:tr w:rsidR="00BA6540" w:rsidRPr="006B443D" w14:paraId="381E40F9" w14:textId="77777777" w:rsidTr="00710291">
        <w:tc>
          <w:tcPr>
            <w:tcW w:w="833" w:type="pct"/>
            <w:vAlign w:val="center"/>
          </w:tcPr>
          <w:p w14:paraId="1A6CDA0B"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5CF58AB9" w14:textId="77777777" w:rsidR="00BA6540" w:rsidRPr="00646171" w:rsidRDefault="00BA6540" w:rsidP="00BA6540">
            <w:pPr>
              <w:overflowPunct w:val="0"/>
              <w:autoSpaceDE w:val="0"/>
              <w:autoSpaceDN w:val="0"/>
              <w:adjustRightInd w:val="0"/>
              <w:spacing w:before="120" w:after="120"/>
              <w:jc w:val="both"/>
              <w:textAlignment w:val="baseline"/>
              <w:rPr>
                <w:rFonts w:asciiTheme="minorHAnsi" w:hAnsiTheme="minorHAnsi"/>
                <w:b/>
                <w:sz w:val="22"/>
                <w:szCs w:val="22"/>
              </w:rPr>
            </w:pPr>
            <w:r w:rsidRPr="00646171">
              <w:rPr>
                <w:rFonts w:asciiTheme="minorHAnsi" w:hAnsiTheme="minorHAnsi"/>
                <w:b/>
                <w:sz w:val="22"/>
                <w:szCs w:val="22"/>
              </w:rPr>
              <w:t>Bude splněno jiným způsobem</w:t>
            </w:r>
          </w:p>
          <w:p w14:paraId="52D7B3EC" w14:textId="4A06E48B" w:rsidR="00BA6540" w:rsidRPr="00D1501A" w:rsidRDefault="00646171" w:rsidP="00E45037">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V</w:t>
            </w:r>
            <w:r w:rsidR="00BA6540" w:rsidRPr="00BA6540">
              <w:rPr>
                <w:rFonts w:asciiTheme="minorHAnsi" w:hAnsiTheme="minorHAnsi"/>
                <w:sz w:val="22"/>
                <w:szCs w:val="22"/>
              </w:rPr>
              <w:t>zhledem k tomu, že nedošlo k</w:t>
            </w:r>
            <w:r w:rsidR="000D6241">
              <w:rPr>
                <w:rFonts w:asciiTheme="minorHAnsi" w:hAnsiTheme="minorHAnsi"/>
                <w:sz w:val="22"/>
                <w:szCs w:val="22"/>
              </w:rPr>
              <w:t>e</w:t>
            </w:r>
            <w:r w:rsidR="00BA6540" w:rsidRPr="00BA6540">
              <w:rPr>
                <w:rFonts w:asciiTheme="minorHAnsi" w:hAnsiTheme="minorHAnsi"/>
                <w:sz w:val="22"/>
                <w:szCs w:val="22"/>
              </w:rPr>
              <w:t xml:space="preserve"> změnám v majetkové struktuře tuzemských rafinerií,</w:t>
            </w:r>
            <w:r w:rsidR="000D6241">
              <w:rPr>
                <w:rFonts w:asciiTheme="minorHAnsi" w:hAnsiTheme="minorHAnsi"/>
                <w:sz w:val="22"/>
                <w:szCs w:val="22"/>
              </w:rPr>
              <w:t xml:space="preserve"> předpokládaným v době formulace nástroje,</w:t>
            </w:r>
            <w:r w:rsidR="00BA6540" w:rsidRPr="00BA6540">
              <w:rPr>
                <w:rFonts w:asciiTheme="minorHAnsi" w:hAnsiTheme="minorHAnsi"/>
                <w:sz w:val="22"/>
                <w:szCs w:val="22"/>
              </w:rPr>
              <w:t xml:space="preserve"> nemá stát vliv na nákup a</w:t>
            </w:r>
            <w:r w:rsidR="000D6241">
              <w:rPr>
                <w:rFonts w:asciiTheme="minorHAnsi" w:hAnsiTheme="minorHAnsi"/>
                <w:sz w:val="22"/>
                <w:szCs w:val="22"/>
              </w:rPr>
              <w:t> </w:t>
            </w:r>
            <w:r w:rsidR="00BA6540" w:rsidRPr="00BA6540">
              <w:rPr>
                <w:rFonts w:asciiTheme="minorHAnsi" w:hAnsiTheme="minorHAnsi"/>
                <w:sz w:val="22"/>
                <w:szCs w:val="22"/>
              </w:rPr>
              <w:t>zpracování ropy a</w:t>
            </w:r>
            <w:r w:rsidR="002F1E7C">
              <w:rPr>
                <w:rFonts w:asciiTheme="minorHAnsi" w:hAnsiTheme="minorHAnsi"/>
                <w:sz w:val="22"/>
                <w:szCs w:val="22"/>
              </w:rPr>
              <w:t> </w:t>
            </w:r>
            <w:r w:rsidR="00BA6540" w:rsidRPr="00BA6540">
              <w:rPr>
                <w:rFonts w:asciiTheme="minorHAnsi" w:hAnsiTheme="minorHAnsi"/>
                <w:sz w:val="22"/>
                <w:szCs w:val="22"/>
              </w:rPr>
              <w:t>může ovlivnit pouze objem a strukturu</w:t>
            </w:r>
            <w:r w:rsidR="000D6241">
              <w:rPr>
                <w:rFonts w:asciiTheme="minorHAnsi" w:hAnsiTheme="minorHAnsi"/>
                <w:sz w:val="22"/>
                <w:szCs w:val="22"/>
              </w:rPr>
              <w:t xml:space="preserve"> nouzových</w:t>
            </w:r>
            <w:r w:rsidR="00BA6540" w:rsidRPr="00BA6540">
              <w:rPr>
                <w:rFonts w:asciiTheme="minorHAnsi" w:hAnsiTheme="minorHAnsi"/>
                <w:sz w:val="22"/>
                <w:szCs w:val="22"/>
              </w:rPr>
              <w:t xml:space="preserve"> zásob ropy a ropných produktů. Z</w:t>
            </w:r>
            <w:r w:rsidR="002F1E7C">
              <w:rPr>
                <w:rFonts w:asciiTheme="minorHAnsi" w:hAnsiTheme="minorHAnsi"/>
                <w:sz w:val="22"/>
                <w:szCs w:val="22"/>
              </w:rPr>
              <w:t> </w:t>
            </w:r>
            <w:r w:rsidR="00BA6540" w:rsidRPr="00BA6540">
              <w:rPr>
                <w:rFonts w:asciiTheme="minorHAnsi" w:hAnsiTheme="minorHAnsi"/>
                <w:sz w:val="22"/>
                <w:szCs w:val="22"/>
              </w:rPr>
              <w:t>tohoto důvodu</w:t>
            </w:r>
            <w:r w:rsidR="000D6241">
              <w:rPr>
                <w:rFonts w:asciiTheme="minorHAnsi" w:hAnsiTheme="minorHAnsi"/>
                <w:sz w:val="22"/>
                <w:szCs w:val="22"/>
              </w:rPr>
              <w:t xml:space="preserve"> tedy</w:t>
            </w:r>
            <w:r w:rsidR="00BA6540" w:rsidRPr="00BA6540">
              <w:rPr>
                <w:rFonts w:asciiTheme="minorHAnsi" w:hAnsiTheme="minorHAnsi"/>
                <w:sz w:val="22"/>
                <w:szCs w:val="22"/>
              </w:rPr>
              <w:t xml:space="preserve"> nemá zpracování koncepce v</w:t>
            </w:r>
            <w:r w:rsidR="000D6241">
              <w:rPr>
                <w:rFonts w:asciiTheme="minorHAnsi" w:hAnsiTheme="minorHAnsi"/>
                <w:sz w:val="22"/>
                <w:szCs w:val="22"/>
              </w:rPr>
              <w:t> </w:t>
            </w:r>
            <w:r w:rsidR="00BA6540" w:rsidRPr="00BA6540">
              <w:rPr>
                <w:rFonts w:asciiTheme="minorHAnsi" w:hAnsiTheme="minorHAnsi"/>
                <w:sz w:val="22"/>
                <w:szCs w:val="22"/>
              </w:rPr>
              <w:t>původně zamýšleném směru opodstatnění. V rámci plnění tohoto nástroje tak SSHR zpracov</w:t>
            </w:r>
            <w:r w:rsidR="0085221B">
              <w:rPr>
                <w:rFonts w:asciiTheme="minorHAnsi" w:hAnsiTheme="minorHAnsi"/>
                <w:sz w:val="22"/>
                <w:szCs w:val="22"/>
              </w:rPr>
              <w:t>ala</w:t>
            </w:r>
            <w:r w:rsidR="007D24A9">
              <w:rPr>
                <w:rFonts w:asciiTheme="minorHAnsi" w:hAnsiTheme="minorHAnsi"/>
                <w:sz w:val="22"/>
                <w:szCs w:val="22"/>
              </w:rPr>
              <w:t>, v souladu</w:t>
            </w:r>
            <w:r w:rsidR="007D24A9" w:rsidRPr="00BA6540">
              <w:rPr>
                <w:rFonts w:asciiTheme="minorHAnsi" w:hAnsiTheme="minorHAnsi"/>
                <w:sz w:val="22"/>
                <w:szCs w:val="22"/>
              </w:rPr>
              <w:t xml:space="preserve"> s</w:t>
            </w:r>
            <w:r w:rsidR="007D24A9">
              <w:rPr>
                <w:rFonts w:asciiTheme="minorHAnsi" w:hAnsiTheme="minorHAnsi"/>
                <w:sz w:val="22"/>
                <w:szCs w:val="22"/>
              </w:rPr>
              <w:t> </w:t>
            </w:r>
            <w:r w:rsidR="007D24A9" w:rsidRPr="00BA6540">
              <w:rPr>
                <w:rFonts w:asciiTheme="minorHAnsi" w:hAnsiTheme="minorHAnsi"/>
                <w:sz w:val="22"/>
                <w:szCs w:val="22"/>
              </w:rPr>
              <w:t xml:space="preserve">návrhem </w:t>
            </w:r>
            <w:r w:rsidR="007D24A9">
              <w:rPr>
                <w:rFonts w:asciiTheme="minorHAnsi" w:hAnsiTheme="minorHAnsi"/>
                <w:sz w:val="22"/>
                <w:szCs w:val="22"/>
              </w:rPr>
              <w:t>M</w:t>
            </w:r>
            <w:r w:rsidR="007D24A9" w:rsidRPr="00BA6540">
              <w:rPr>
                <w:rFonts w:asciiTheme="minorHAnsi" w:hAnsiTheme="minorHAnsi"/>
                <w:sz w:val="22"/>
                <w:szCs w:val="22"/>
              </w:rPr>
              <w:t>inist</w:t>
            </w:r>
            <w:r w:rsidR="007D24A9">
              <w:rPr>
                <w:rFonts w:asciiTheme="minorHAnsi" w:hAnsiTheme="minorHAnsi"/>
                <w:sz w:val="22"/>
                <w:szCs w:val="22"/>
              </w:rPr>
              <w:t>erstva</w:t>
            </w:r>
            <w:r w:rsidR="007D24A9" w:rsidRPr="00BA6540">
              <w:rPr>
                <w:rFonts w:asciiTheme="minorHAnsi" w:hAnsiTheme="minorHAnsi"/>
                <w:sz w:val="22"/>
                <w:szCs w:val="22"/>
              </w:rPr>
              <w:t xml:space="preserve"> financí akceptovaným na jednání Bezpečnostní rady státu dne 22. července 2016</w:t>
            </w:r>
            <w:r w:rsidR="007D24A9">
              <w:rPr>
                <w:rFonts w:asciiTheme="minorHAnsi" w:hAnsiTheme="minorHAnsi"/>
                <w:sz w:val="22"/>
                <w:szCs w:val="22"/>
              </w:rPr>
              <w:t>,</w:t>
            </w:r>
            <w:r w:rsidR="0085221B">
              <w:rPr>
                <w:rFonts w:asciiTheme="minorHAnsi" w:hAnsiTheme="minorHAnsi"/>
                <w:sz w:val="22"/>
                <w:szCs w:val="22"/>
              </w:rPr>
              <w:t xml:space="preserve"> </w:t>
            </w:r>
            <w:r w:rsidR="0091737B">
              <w:rPr>
                <w:rFonts w:asciiTheme="minorHAnsi" w:hAnsiTheme="minorHAnsi"/>
                <w:sz w:val="22"/>
                <w:szCs w:val="22"/>
              </w:rPr>
              <w:t>„</w:t>
            </w:r>
            <w:r w:rsidR="0085221B">
              <w:rPr>
                <w:rFonts w:asciiTheme="minorHAnsi" w:hAnsiTheme="minorHAnsi"/>
                <w:sz w:val="22"/>
                <w:szCs w:val="22"/>
              </w:rPr>
              <w:t>Strategický plán SSHR pro oblast ropy a ropných produktů do roku 2030</w:t>
            </w:r>
            <w:r w:rsidR="0091737B">
              <w:rPr>
                <w:rFonts w:asciiTheme="minorHAnsi" w:hAnsiTheme="minorHAnsi"/>
                <w:sz w:val="22"/>
                <w:szCs w:val="22"/>
              </w:rPr>
              <w:t>“</w:t>
            </w:r>
            <w:r w:rsidR="0085221B">
              <w:rPr>
                <w:rFonts w:asciiTheme="minorHAnsi" w:hAnsiTheme="minorHAnsi"/>
                <w:sz w:val="22"/>
                <w:szCs w:val="22"/>
              </w:rPr>
              <w:t xml:space="preserve">, který byl </w:t>
            </w:r>
            <w:r w:rsidR="0091737B">
              <w:rPr>
                <w:rFonts w:asciiTheme="minorHAnsi" w:hAnsiTheme="minorHAnsi"/>
                <w:sz w:val="22"/>
                <w:szCs w:val="22"/>
              </w:rPr>
              <w:t>podkladem</w:t>
            </w:r>
            <w:r w:rsidR="0085221B" w:rsidRPr="0085221B">
              <w:rPr>
                <w:rFonts w:asciiTheme="minorHAnsi" w:hAnsiTheme="minorHAnsi"/>
                <w:sz w:val="22"/>
                <w:szCs w:val="22"/>
              </w:rPr>
              <w:t xml:space="preserve"> </w:t>
            </w:r>
            <w:r w:rsidR="0091737B">
              <w:rPr>
                <w:rFonts w:asciiTheme="minorHAnsi" w:hAnsiTheme="minorHAnsi"/>
                <w:sz w:val="22"/>
                <w:szCs w:val="22"/>
              </w:rPr>
              <w:t xml:space="preserve">pro </w:t>
            </w:r>
            <w:r w:rsidR="0085221B" w:rsidRPr="0085221B">
              <w:rPr>
                <w:rFonts w:asciiTheme="minorHAnsi" w:hAnsiTheme="minorHAnsi"/>
                <w:sz w:val="22"/>
                <w:szCs w:val="22"/>
              </w:rPr>
              <w:t xml:space="preserve">materiál </w:t>
            </w:r>
            <w:r w:rsidR="0085221B">
              <w:rPr>
                <w:rFonts w:asciiTheme="minorHAnsi" w:hAnsiTheme="minorHAnsi"/>
                <w:sz w:val="22"/>
                <w:szCs w:val="22"/>
              </w:rPr>
              <w:t>„</w:t>
            </w:r>
            <w:r w:rsidR="007D24A9">
              <w:rPr>
                <w:rFonts w:asciiTheme="minorHAnsi" w:hAnsiTheme="minorHAnsi"/>
                <w:sz w:val="22"/>
                <w:szCs w:val="22"/>
              </w:rPr>
              <w:t>Z</w:t>
            </w:r>
            <w:r w:rsidR="0085221B" w:rsidRPr="0085221B">
              <w:rPr>
                <w:rFonts w:asciiTheme="minorHAnsi" w:hAnsiTheme="minorHAnsi"/>
                <w:sz w:val="22"/>
                <w:szCs w:val="22"/>
              </w:rPr>
              <w:t>výšení nouzových zásob ropy a ropných produktů</w:t>
            </w:r>
            <w:r w:rsidR="0085221B">
              <w:rPr>
                <w:rFonts w:asciiTheme="minorHAnsi" w:hAnsiTheme="minorHAnsi"/>
                <w:sz w:val="22"/>
                <w:szCs w:val="22"/>
              </w:rPr>
              <w:t>“</w:t>
            </w:r>
            <w:r w:rsidR="0085221B" w:rsidRPr="0085221B">
              <w:rPr>
                <w:rFonts w:asciiTheme="minorHAnsi" w:hAnsiTheme="minorHAnsi"/>
                <w:sz w:val="22"/>
                <w:szCs w:val="22"/>
              </w:rPr>
              <w:t xml:space="preserve"> </w:t>
            </w:r>
            <w:r w:rsidR="0085221B">
              <w:rPr>
                <w:rFonts w:asciiTheme="minorHAnsi" w:hAnsiTheme="minorHAnsi"/>
                <w:sz w:val="22"/>
                <w:szCs w:val="22"/>
              </w:rPr>
              <w:t>předložený</w:t>
            </w:r>
            <w:r w:rsidR="0085221B" w:rsidRPr="0085221B">
              <w:rPr>
                <w:rFonts w:asciiTheme="minorHAnsi" w:hAnsiTheme="minorHAnsi"/>
                <w:sz w:val="22"/>
                <w:szCs w:val="22"/>
              </w:rPr>
              <w:t xml:space="preserve"> vlád</w:t>
            </w:r>
            <w:r w:rsidR="0085221B">
              <w:rPr>
                <w:rFonts w:asciiTheme="minorHAnsi" w:hAnsiTheme="minorHAnsi"/>
                <w:sz w:val="22"/>
                <w:szCs w:val="22"/>
              </w:rPr>
              <w:t>ě</w:t>
            </w:r>
            <w:r w:rsidR="0085221B" w:rsidRPr="0085221B">
              <w:rPr>
                <w:rFonts w:asciiTheme="minorHAnsi" w:hAnsiTheme="minorHAnsi"/>
                <w:sz w:val="22"/>
                <w:szCs w:val="22"/>
              </w:rPr>
              <w:t xml:space="preserve"> ČR</w:t>
            </w:r>
            <w:r w:rsidR="0085221B">
              <w:rPr>
                <w:rFonts w:asciiTheme="minorHAnsi" w:hAnsiTheme="minorHAnsi"/>
                <w:sz w:val="22"/>
                <w:szCs w:val="22"/>
              </w:rPr>
              <w:t>, která</w:t>
            </w:r>
            <w:r w:rsidR="0085221B" w:rsidRPr="0085221B">
              <w:rPr>
                <w:rFonts w:asciiTheme="minorHAnsi" w:hAnsiTheme="minorHAnsi"/>
                <w:sz w:val="22"/>
                <w:szCs w:val="22"/>
              </w:rPr>
              <w:t xml:space="preserve"> na sv</w:t>
            </w:r>
            <w:r w:rsidR="0085221B" w:rsidRPr="005D787E">
              <w:rPr>
                <w:rFonts w:asciiTheme="minorHAnsi" w:hAnsiTheme="minorHAnsi"/>
                <w:sz w:val="22"/>
                <w:szCs w:val="22"/>
              </w:rPr>
              <w:t xml:space="preserve">ém jednání dne 26. června 2017 nerozhodla o nákupu, a to </w:t>
            </w:r>
            <w:r w:rsidR="0091737B" w:rsidRPr="005D787E">
              <w:rPr>
                <w:rFonts w:asciiTheme="minorHAnsi" w:hAnsiTheme="minorHAnsi"/>
                <w:sz w:val="22"/>
                <w:szCs w:val="22"/>
              </w:rPr>
              <w:t>an</w:t>
            </w:r>
            <w:r w:rsidR="0085221B" w:rsidRPr="005D787E">
              <w:rPr>
                <w:rFonts w:asciiTheme="minorHAnsi" w:hAnsiTheme="minorHAnsi"/>
                <w:sz w:val="22"/>
                <w:szCs w:val="22"/>
              </w:rPr>
              <w:t>i přes nepříznivý stav v</w:t>
            </w:r>
            <w:r w:rsidR="0091737B" w:rsidRPr="005D787E">
              <w:rPr>
                <w:rFonts w:asciiTheme="minorHAnsi" w:hAnsiTheme="minorHAnsi"/>
                <w:sz w:val="22"/>
                <w:szCs w:val="22"/>
              </w:rPr>
              <w:t> </w:t>
            </w:r>
            <w:r w:rsidR="0085221B" w:rsidRPr="005D787E">
              <w:rPr>
                <w:rFonts w:asciiTheme="minorHAnsi" w:hAnsiTheme="minorHAnsi"/>
                <w:sz w:val="22"/>
                <w:szCs w:val="22"/>
              </w:rPr>
              <w:t>oblasti</w:t>
            </w:r>
            <w:r w:rsidR="0091737B" w:rsidRPr="005D787E">
              <w:rPr>
                <w:rFonts w:asciiTheme="minorHAnsi" w:hAnsiTheme="minorHAnsi"/>
                <w:sz w:val="22"/>
                <w:szCs w:val="22"/>
              </w:rPr>
              <w:t xml:space="preserve"> plnění</w:t>
            </w:r>
            <w:r w:rsidR="0085221B" w:rsidRPr="005D787E">
              <w:rPr>
                <w:rFonts w:asciiTheme="minorHAnsi" w:hAnsiTheme="minorHAnsi"/>
                <w:sz w:val="22"/>
                <w:szCs w:val="22"/>
              </w:rPr>
              <w:t xml:space="preserve"> </w:t>
            </w:r>
            <w:r w:rsidR="0091737B" w:rsidRPr="005D787E">
              <w:rPr>
                <w:rFonts w:asciiTheme="minorHAnsi" w:hAnsiTheme="minorHAnsi"/>
                <w:sz w:val="22"/>
                <w:szCs w:val="22"/>
              </w:rPr>
              <w:t xml:space="preserve">zákonem stanovené hranice na úrovni </w:t>
            </w:r>
            <w:r w:rsidR="0085221B" w:rsidRPr="005D787E">
              <w:rPr>
                <w:rFonts w:asciiTheme="minorHAnsi" w:hAnsiTheme="minorHAnsi"/>
                <w:sz w:val="22"/>
                <w:szCs w:val="22"/>
              </w:rPr>
              <w:t>90 d</w:t>
            </w:r>
            <w:r w:rsidR="0091737B" w:rsidRPr="005D787E">
              <w:rPr>
                <w:rFonts w:asciiTheme="minorHAnsi" w:hAnsiTheme="minorHAnsi"/>
                <w:sz w:val="22"/>
                <w:szCs w:val="22"/>
              </w:rPr>
              <w:t>en</w:t>
            </w:r>
            <w:r w:rsidR="0085221B" w:rsidRPr="005D787E">
              <w:rPr>
                <w:rFonts w:asciiTheme="minorHAnsi" w:hAnsiTheme="minorHAnsi"/>
                <w:sz w:val="22"/>
                <w:szCs w:val="22"/>
              </w:rPr>
              <w:t>ní</w:t>
            </w:r>
            <w:r w:rsidR="0091737B" w:rsidRPr="005D787E">
              <w:rPr>
                <w:rFonts w:asciiTheme="minorHAnsi" w:hAnsiTheme="minorHAnsi"/>
                <w:sz w:val="22"/>
                <w:szCs w:val="22"/>
              </w:rPr>
              <w:t>ch</w:t>
            </w:r>
            <w:r w:rsidR="0085221B" w:rsidRPr="005D787E">
              <w:rPr>
                <w:rFonts w:asciiTheme="minorHAnsi" w:hAnsiTheme="minorHAnsi"/>
                <w:sz w:val="22"/>
                <w:szCs w:val="22"/>
              </w:rPr>
              <w:t xml:space="preserve"> zásob</w:t>
            </w:r>
            <w:r w:rsidR="0091737B" w:rsidRPr="005D787E">
              <w:rPr>
                <w:rFonts w:asciiTheme="minorHAnsi" w:hAnsiTheme="minorHAnsi"/>
                <w:sz w:val="22"/>
                <w:szCs w:val="22"/>
              </w:rPr>
              <w:t>.</w:t>
            </w:r>
            <w:r w:rsidR="005D787E" w:rsidRPr="005D787E">
              <w:rPr>
                <w:rFonts w:asciiTheme="minorHAnsi" w:hAnsiTheme="minorHAnsi"/>
                <w:sz w:val="22"/>
                <w:szCs w:val="22"/>
              </w:rPr>
              <w:t xml:space="preserve"> Obdobný návrh s variantním řešením nákupu ropy či ropných </w:t>
            </w:r>
            <w:r w:rsidR="005D787E" w:rsidRPr="005547AE">
              <w:rPr>
                <w:rFonts w:asciiTheme="minorHAnsi" w:hAnsiTheme="minorHAnsi"/>
                <w:sz w:val="22"/>
                <w:szCs w:val="22"/>
              </w:rPr>
              <w:t>produktů byl zpracován v létě 2018, včetně aktualizace Strategického plánu pro oblast ropy a ropných produktů</w:t>
            </w:r>
            <w:r w:rsidR="005547AE" w:rsidRPr="005547AE">
              <w:rPr>
                <w:rFonts w:asciiTheme="minorHAnsi" w:hAnsiTheme="minorHAnsi"/>
                <w:sz w:val="22"/>
                <w:szCs w:val="22"/>
              </w:rPr>
              <w:t>, jež byl v září 2018 přejmenován na Krátkodobý strategický plán SSHR pro nákup nouzových zásob ropy a ropných produktů do roku 2030</w:t>
            </w:r>
            <w:r w:rsidR="005D787E" w:rsidRPr="005547AE">
              <w:rPr>
                <w:rFonts w:asciiTheme="minorHAnsi" w:hAnsiTheme="minorHAnsi"/>
                <w:sz w:val="22"/>
                <w:szCs w:val="22"/>
              </w:rPr>
              <w:t>, a aktuálně je předmětem jednání mezi MPO, SSHR a MF.</w:t>
            </w:r>
          </w:p>
        </w:tc>
      </w:tr>
    </w:tbl>
    <w:p w14:paraId="7BAF5AEF" w14:textId="77777777" w:rsidR="00BA6540" w:rsidRDefault="00BA6540">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BA6540" w:rsidRPr="006B443D" w14:paraId="54305563" w14:textId="77777777" w:rsidTr="00710291">
        <w:tc>
          <w:tcPr>
            <w:tcW w:w="833" w:type="pct"/>
            <w:shd w:val="clear" w:color="auto" w:fill="DBE5F1" w:themeFill="accent1" w:themeFillTint="33"/>
            <w:vAlign w:val="center"/>
          </w:tcPr>
          <w:p w14:paraId="114071CC" w14:textId="77777777" w:rsidR="00BA6540" w:rsidRPr="006B443D" w:rsidRDefault="00BA6540" w:rsidP="002C5FC9">
            <w:pPr>
              <w:keepNext/>
              <w:jc w:val="center"/>
              <w:rPr>
                <w:rFonts w:asciiTheme="minorHAnsi" w:hAnsiTheme="minorHAnsi"/>
                <w:b/>
                <w:sz w:val="22"/>
                <w:szCs w:val="22"/>
              </w:rPr>
            </w:pPr>
            <w:r w:rsidRPr="006B443D">
              <w:rPr>
                <w:rFonts w:asciiTheme="minorHAnsi" w:hAnsiTheme="minorHAnsi"/>
                <w:b/>
                <w:sz w:val="22"/>
                <w:szCs w:val="22"/>
              </w:rPr>
              <w:lastRenderedPageBreak/>
              <w:t>Nástroj</w:t>
            </w:r>
          </w:p>
        </w:tc>
        <w:tc>
          <w:tcPr>
            <w:tcW w:w="4167" w:type="pct"/>
            <w:shd w:val="clear" w:color="auto" w:fill="DBE5F1" w:themeFill="accent1" w:themeFillTint="33"/>
            <w:vAlign w:val="center"/>
          </w:tcPr>
          <w:p w14:paraId="705A5308" w14:textId="77777777" w:rsidR="00BA6540" w:rsidRPr="006B443D" w:rsidRDefault="00646171" w:rsidP="002C5FC9">
            <w:pPr>
              <w:keepNext/>
              <w:spacing w:before="120" w:after="120"/>
              <w:jc w:val="both"/>
              <w:rPr>
                <w:rFonts w:asciiTheme="minorHAnsi" w:hAnsiTheme="minorHAnsi"/>
                <w:b/>
                <w:sz w:val="22"/>
                <w:szCs w:val="22"/>
              </w:rPr>
            </w:pPr>
            <w:r w:rsidRPr="00646171">
              <w:rPr>
                <w:rFonts w:asciiTheme="minorHAnsi" w:hAnsiTheme="minorHAnsi"/>
                <w:b/>
                <w:sz w:val="22"/>
                <w:szCs w:val="22"/>
              </w:rPr>
              <w:t>Zpracovat vyhledávací studii lokalit pro další rozvoj jaderných elektráren po roce 2040</w:t>
            </w:r>
          </w:p>
        </w:tc>
      </w:tr>
      <w:tr w:rsidR="00BA6540" w:rsidRPr="006B443D" w14:paraId="06D12160" w14:textId="77777777" w:rsidTr="00710291">
        <w:tc>
          <w:tcPr>
            <w:tcW w:w="833" w:type="pct"/>
            <w:vAlign w:val="center"/>
          </w:tcPr>
          <w:p w14:paraId="5D489DFD"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45E1E9BF" w14:textId="133642F0" w:rsidR="00BA6540" w:rsidRPr="006B443D" w:rsidRDefault="00646171" w:rsidP="00646171">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646171">
              <w:rPr>
                <w:rFonts w:asciiTheme="minorHAnsi" w:hAnsiTheme="minorHAnsi"/>
                <w:sz w:val="22"/>
                <w:szCs w:val="22"/>
              </w:rPr>
              <w:t>Zpracovat vyhledávací studii lokalit pro další rozvoj jaderných elektráren po roce 2040</w:t>
            </w:r>
            <w:r w:rsidR="00496481">
              <w:rPr>
                <w:rFonts w:asciiTheme="minorHAnsi" w:hAnsiTheme="minorHAnsi"/>
                <w:sz w:val="22"/>
                <w:szCs w:val="22"/>
              </w:rPr>
              <w:t>.</w:t>
            </w:r>
          </w:p>
        </w:tc>
      </w:tr>
      <w:tr w:rsidR="00BA6540" w:rsidRPr="006B443D" w14:paraId="04334B41" w14:textId="77777777" w:rsidTr="00710291">
        <w:tc>
          <w:tcPr>
            <w:tcW w:w="833" w:type="pct"/>
            <w:vAlign w:val="center"/>
          </w:tcPr>
          <w:p w14:paraId="1FFA2350"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5A2979D2" w14:textId="77777777" w:rsidR="00BA6540" w:rsidRPr="006B443D" w:rsidRDefault="00646171" w:rsidP="00710291">
            <w:pPr>
              <w:spacing w:before="120" w:after="120"/>
              <w:jc w:val="both"/>
              <w:rPr>
                <w:rFonts w:asciiTheme="minorHAnsi" w:hAnsiTheme="minorHAnsi"/>
                <w:sz w:val="22"/>
                <w:szCs w:val="22"/>
              </w:rPr>
            </w:pPr>
            <w:r w:rsidRPr="00646171">
              <w:rPr>
                <w:rFonts w:asciiTheme="minorHAnsi" w:hAnsiTheme="minorHAnsi"/>
                <w:sz w:val="22"/>
                <w:szCs w:val="22"/>
              </w:rPr>
              <w:t>MPO, v součinnosti s MŽP a MMR</w:t>
            </w:r>
          </w:p>
        </w:tc>
      </w:tr>
      <w:tr w:rsidR="00BA6540" w:rsidRPr="006B443D" w14:paraId="5C57A265" w14:textId="77777777" w:rsidTr="00710291">
        <w:tc>
          <w:tcPr>
            <w:tcW w:w="833" w:type="pct"/>
            <w:vAlign w:val="center"/>
          </w:tcPr>
          <w:p w14:paraId="3EDAA78C"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655A82C5" w14:textId="3753217D" w:rsidR="00BA6540" w:rsidRPr="006B443D" w:rsidRDefault="00F81175" w:rsidP="00710291">
            <w:pPr>
              <w:spacing w:before="120" w:after="120"/>
              <w:jc w:val="both"/>
              <w:rPr>
                <w:rFonts w:asciiTheme="minorHAnsi" w:hAnsiTheme="minorHAnsi"/>
                <w:sz w:val="22"/>
                <w:szCs w:val="22"/>
              </w:rPr>
            </w:pPr>
            <w:r>
              <w:rPr>
                <w:rFonts w:asciiTheme="minorHAnsi" w:hAnsiTheme="minorHAnsi"/>
                <w:sz w:val="22"/>
                <w:szCs w:val="22"/>
              </w:rPr>
              <w:t>d</w:t>
            </w:r>
            <w:r w:rsidR="00646171">
              <w:rPr>
                <w:rFonts w:asciiTheme="minorHAnsi" w:hAnsiTheme="minorHAnsi"/>
                <w:sz w:val="22"/>
                <w:szCs w:val="22"/>
              </w:rPr>
              <w:t>o 31. 12. 2016</w:t>
            </w:r>
          </w:p>
        </w:tc>
      </w:tr>
      <w:tr w:rsidR="00BA6540" w:rsidRPr="006B443D" w14:paraId="7EF658E1" w14:textId="77777777" w:rsidTr="002C5FC9">
        <w:trPr>
          <w:cantSplit/>
        </w:trPr>
        <w:tc>
          <w:tcPr>
            <w:tcW w:w="833" w:type="pct"/>
            <w:vAlign w:val="center"/>
          </w:tcPr>
          <w:p w14:paraId="28FDECF0"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30776A69" w14:textId="3D64B615" w:rsidR="00646171" w:rsidRPr="00CB16FC" w:rsidRDefault="008E3A52" w:rsidP="00646171">
            <w:pPr>
              <w:overflowPunct w:val="0"/>
              <w:autoSpaceDE w:val="0"/>
              <w:autoSpaceDN w:val="0"/>
              <w:adjustRightInd w:val="0"/>
              <w:spacing w:before="120" w:after="120"/>
              <w:jc w:val="both"/>
              <w:textAlignment w:val="baseline"/>
              <w:rPr>
                <w:rFonts w:asciiTheme="minorHAnsi" w:hAnsiTheme="minorHAnsi"/>
                <w:b/>
                <w:sz w:val="22"/>
                <w:szCs w:val="22"/>
              </w:rPr>
            </w:pPr>
            <w:r>
              <w:rPr>
                <w:rFonts w:asciiTheme="minorHAnsi" w:hAnsiTheme="minorHAnsi"/>
                <w:b/>
                <w:sz w:val="22"/>
                <w:szCs w:val="22"/>
              </w:rPr>
              <w:t>Plnění probíhá</w:t>
            </w:r>
            <w:r w:rsidR="006150E1">
              <w:rPr>
                <w:rFonts w:asciiTheme="minorHAnsi" w:hAnsiTheme="minorHAnsi"/>
                <w:b/>
                <w:sz w:val="22"/>
                <w:szCs w:val="22"/>
              </w:rPr>
              <w:t xml:space="preserve"> dílčím způsobem</w:t>
            </w:r>
          </w:p>
          <w:p w14:paraId="0E68536B" w14:textId="77777777" w:rsidR="006150E1" w:rsidRDefault="008E3A52" w:rsidP="008E3A52">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S ohledem na aktuálně připravovanou aktualizaci Politiky územního rozvoje ČR bude zadána studie zaměřená na prověření dostatečnosti podkladů pro využití již dříve vytipované lokality Blahutovice na území Moravskoslezského kraje.</w:t>
            </w:r>
          </w:p>
          <w:p w14:paraId="703A12F6" w14:textId="55CA9D81" w:rsidR="00BA6540" w:rsidRPr="00CB16FC" w:rsidRDefault="006150E1" w:rsidP="006150E1">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Na dalším rozvoji jaderné energetiky nad rámec lokalit stávajících jaderných elektráren neexistuje politická shoda, a proto zpracování studie pro vyhledání nových lokalit není v současné době reálné.</w:t>
            </w:r>
          </w:p>
        </w:tc>
      </w:tr>
    </w:tbl>
    <w:p w14:paraId="4BBCB722" w14:textId="77777777" w:rsidR="00BA6540" w:rsidRDefault="00BA6540">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BA6540" w:rsidRPr="006B443D" w14:paraId="34D870AA" w14:textId="77777777" w:rsidTr="00710291">
        <w:tc>
          <w:tcPr>
            <w:tcW w:w="833" w:type="pct"/>
            <w:shd w:val="clear" w:color="auto" w:fill="DBE5F1" w:themeFill="accent1" w:themeFillTint="33"/>
            <w:vAlign w:val="center"/>
          </w:tcPr>
          <w:p w14:paraId="21CA75E2" w14:textId="77777777" w:rsidR="00BA6540" w:rsidRPr="006B443D" w:rsidRDefault="00BA6540" w:rsidP="002C5FC9">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6F193378" w14:textId="77777777" w:rsidR="00BA6540" w:rsidRPr="006B443D" w:rsidRDefault="00646171" w:rsidP="002C5FC9">
            <w:pPr>
              <w:keepNext/>
              <w:spacing w:before="120" w:after="120"/>
              <w:jc w:val="both"/>
              <w:rPr>
                <w:rFonts w:asciiTheme="minorHAnsi" w:hAnsiTheme="minorHAnsi"/>
                <w:b/>
                <w:sz w:val="22"/>
                <w:szCs w:val="22"/>
              </w:rPr>
            </w:pPr>
            <w:r w:rsidRPr="00646171">
              <w:rPr>
                <w:rFonts w:asciiTheme="minorHAnsi" w:hAnsiTheme="minorHAnsi"/>
                <w:b/>
                <w:sz w:val="22"/>
                <w:szCs w:val="22"/>
              </w:rPr>
              <w:t>Aktualizace koncepce nakládání s RAO</w:t>
            </w:r>
          </w:p>
        </w:tc>
      </w:tr>
      <w:tr w:rsidR="00BA6540" w:rsidRPr="006B443D" w14:paraId="32DDC268" w14:textId="77777777" w:rsidTr="00710291">
        <w:tc>
          <w:tcPr>
            <w:tcW w:w="833" w:type="pct"/>
            <w:vAlign w:val="center"/>
          </w:tcPr>
          <w:p w14:paraId="6E66FD27"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000AA161" w14:textId="77777777" w:rsidR="00BA6540" w:rsidRPr="006B443D" w:rsidRDefault="00646171" w:rsidP="00646171">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646171">
              <w:rPr>
                <w:rFonts w:asciiTheme="minorHAnsi" w:hAnsiTheme="minorHAnsi"/>
                <w:sz w:val="22"/>
                <w:szCs w:val="22"/>
              </w:rPr>
              <w:t>Zpracovat v návaznosti na schválenou SEK a Surovinovou politiku ČR Aktualizaci koncepce nakládání s RAO a předložit vládě ke schválení</w:t>
            </w:r>
          </w:p>
        </w:tc>
      </w:tr>
      <w:tr w:rsidR="00BA6540" w:rsidRPr="006B443D" w14:paraId="340D5429" w14:textId="77777777" w:rsidTr="00710291">
        <w:tc>
          <w:tcPr>
            <w:tcW w:w="833" w:type="pct"/>
            <w:vAlign w:val="center"/>
          </w:tcPr>
          <w:p w14:paraId="0077E428"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12788184" w14:textId="77777777" w:rsidR="00BA6540" w:rsidRPr="006B443D" w:rsidRDefault="00646171" w:rsidP="00710291">
            <w:pPr>
              <w:spacing w:before="120" w:after="120"/>
              <w:jc w:val="both"/>
              <w:rPr>
                <w:rFonts w:asciiTheme="minorHAnsi" w:hAnsiTheme="minorHAnsi"/>
                <w:sz w:val="22"/>
                <w:szCs w:val="22"/>
              </w:rPr>
            </w:pPr>
            <w:r w:rsidRPr="00646171">
              <w:rPr>
                <w:rFonts w:asciiTheme="minorHAnsi" w:hAnsiTheme="minorHAnsi"/>
                <w:sz w:val="22"/>
                <w:szCs w:val="22"/>
              </w:rPr>
              <w:t>SÚRAO, MPO, v součinnosti se SÚJB</w:t>
            </w:r>
          </w:p>
        </w:tc>
      </w:tr>
      <w:tr w:rsidR="00BA6540" w:rsidRPr="006B443D" w14:paraId="356A8872" w14:textId="77777777" w:rsidTr="00710291">
        <w:tc>
          <w:tcPr>
            <w:tcW w:w="833" w:type="pct"/>
            <w:vAlign w:val="center"/>
          </w:tcPr>
          <w:p w14:paraId="7E627881"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22B5D9A0" w14:textId="77777777" w:rsidR="00BA6540" w:rsidRPr="006B443D" w:rsidRDefault="00646171" w:rsidP="00710291">
            <w:pPr>
              <w:spacing w:before="120" w:after="120"/>
              <w:jc w:val="both"/>
              <w:rPr>
                <w:rFonts w:asciiTheme="minorHAnsi" w:hAnsiTheme="minorHAnsi"/>
                <w:sz w:val="22"/>
                <w:szCs w:val="22"/>
              </w:rPr>
            </w:pPr>
            <w:r w:rsidRPr="00646171">
              <w:rPr>
                <w:rFonts w:asciiTheme="minorHAnsi" w:hAnsiTheme="minorHAnsi"/>
                <w:sz w:val="22"/>
                <w:szCs w:val="22"/>
              </w:rPr>
              <w:t>do 31. 12. 2015</w:t>
            </w:r>
          </w:p>
        </w:tc>
      </w:tr>
      <w:tr w:rsidR="00BA6540" w:rsidRPr="006B443D" w14:paraId="2C16835C" w14:textId="77777777" w:rsidTr="00710291">
        <w:tc>
          <w:tcPr>
            <w:tcW w:w="833" w:type="pct"/>
            <w:vAlign w:val="center"/>
          </w:tcPr>
          <w:p w14:paraId="53015587"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753B0D42" w14:textId="6217D006" w:rsidR="00646171" w:rsidRPr="00710291" w:rsidRDefault="00420CFF" w:rsidP="00646171">
            <w:pPr>
              <w:overflowPunct w:val="0"/>
              <w:autoSpaceDE w:val="0"/>
              <w:autoSpaceDN w:val="0"/>
              <w:adjustRightInd w:val="0"/>
              <w:spacing w:before="120" w:after="120"/>
              <w:jc w:val="both"/>
              <w:textAlignment w:val="baseline"/>
              <w:rPr>
                <w:rFonts w:asciiTheme="minorHAnsi" w:hAnsiTheme="minorHAnsi"/>
                <w:b/>
                <w:sz w:val="22"/>
                <w:szCs w:val="22"/>
              </w:rPr>
            </w:pPr>
            <w:r>
              <w:rPr>
                <w:rFonts w:asciiTheme="minorHAnsi" w:hAnsiTheme="minorHAnsi"/>
                <w:b/>
                <w:sz w:val="22"/>
                <w:szCs w:val="22"/>
              </w:rPr>
              <w:t>Splněno</w:t>
            </w:r>
          </w:p>
          <w:p w14:paraId="6CC7503A" w14:textId="7DF3631A" w:rsidR="00BA6540" w:rsidRDefault="00465C20" w:rsidP="00465C20">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465C20">
              <w:rPr>
                <w:rFonts w:asciiTheme="minorHAnsi" w:hAnsiTheme="minorHAnsi"/>
                <w:sz w:val="22"/>
                <w:szCs w:val="22"/>
              </w:rPr>
              <w:t>Aktualizace Koncepce nakládání s radioaktivními odpady a vyhořelým jaderným palivem v České republice byla vzata na vědomí vládou ČR</w:t>
            </w:r>
            <w:r w:rsidR="008707D7">
              <w:rPr>
                <w:rFonts w:asciiTheme="minorHAnsi" w:hAnsiTheme="minorHAnsi"/>
                <w:sz w:val="22"/>
                <w:szCs w:val="22"/>
              </w:rPr>
              <w:t>,</w:t>
            </w:r>
            <w:r w:rsidRPr="00465C20">
              <w:rPr>
                <w:rFonts w:asciiTheme="minorHAnsi" w:hAnsiTheme="minorHAnsi"/>
                <w:sz w:val="22"/>
                <w:szCs w:val="22"/>
              </w:rPr>
              <w:t xml:space="preserve"> usnesením č. 1 061 ze dne 15. prosince 2014, podrobena procesu posouzení jejích vlivů na životní prostředí a schválena vládou ČR</w:t>
            </w:r>
            <w:r w:rsidR="008707D7">
              <w:rPr>
                <w:rFonts w:asciiTheme="minorHAnsi" w:hAnsiTheme="minorHAnsi"/>
                <w:sz w:val="22"/>
                <w:szCs w:val="22"/>
              </w:rPr>
              <w:t>,</w:t>
            </w:r>
            <w:r w:rsidRPr="00465C20">
              <w:rPr>
                <w:rFonts w:asciiTheme="minorHAnsi" w:hAnsiTheme="minorHAnsi"/>
                <w:sz w:val="22"/>
                <w:szCs w:val="22"/>
              </w:rPr>
              <w:t xml:space="preserve"> usnesením č. 852 ze dne 29. listopadu 2017.</w:t>
            </w:r>
          </w:p>
          <w:p w14:paraId="7578886C" w14:textId="112B0A8D" w:rsidR="00465C20" w:rsidRPr="00AD6D26" w:rsidRDefault="00465C20" w:rsidP="00465C20">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Schválené</w:t>
            </w:r>
            <w:r w:rsidRPr="00465C20">
              <w:rPr>
                <w:rFonts w:asciiTheme="minorHAnsi" w:hAnsiTheme="minorHAnsi"/>
                <w:sz w:val="22"/>
                <w:szCs w:val="22"/>
              </w:rPr>
              <w:t xml:space="preserve"> znění koncepce bylo předáno Evropské komisi jako vnitrostátní program České republiky pro nakládání s vyhořelým palivem a radioaktivním odpadem, který je vyžadován článkem 15 odst. 4, ve spojení s článkem 13 odst. 1 směrnice Rady 2011/70/Euratom ze dne 19. července 2011, kterou se stanoví rámec Společenství pro odpovědné a bezpečné nakládání s vyhořelým palivem a</w:t>
            </w:r>
            <w:r>
              <w:rPr>
                <w:rFonts w:asciiTheme="minorHAnsi" w:hAnsiTheme="minorHAnsi"/>
                <w:sz w:val="22"/>
                <w:szCs w:val="22"/>
              </w:rPr>
              <w:t> </w:t>
            </w:r>
            <w:r w:rsidRPr="00465C20">
              <w:rPr>
                <w:rFonts w:asciiTheme="minorHAnsi" w:hAnsiTheme="minorHAnsi"/>
                <w:sz w:val="22"/>
                <w:szCs w:val="22"/>
              </w:rPr>
              <w:t>radioaktivním odp</w:t>
            </w:r>
            <w:r>
              <w:rPr>
                <w:rFonts w:asciiTheme="minorHAnsi" w:hAnsiTheme="minorHAnsi"/>
                <w:sz w:val="22"/>
                <w:szCs w:val="22"/>
              </w:rPr>
              <w:t>adem. Evropská komise vznesla k předloženému</w:t>
            </w:r>
            <w:r w:rsidRPr="00465C20">
              <w:rPr>
                <w:rFonts w:asciiTheme="minorHAnsi" w:hAnsiTheme="minorHAnsi"/>
                <w:sz w:val="22"/>
                <w:szCs w:val="22"/>
              </w:rPr>
              <w:t xml:space="preserve"> znění </w:t>
            </w:r>
            <w:r>
              <w:rPr>
                <w:rFonts w:asciiTheme="minorHAnsi" w:hAnsiTheme="minorHAnsi"/>
                <w:sz w:val="22"/>
                <w:szCs w:val="22"/>
              </w:rPr>
              <w:t xml:space="preserve">koncepce </w:t>
            </w:r>
            <w:r w:rsidRPr="00465C20">
              <w:rPr>
                <w:rFonts w:asciiTheme="minorHAnsi" w:hAnsiTheme="minorHAnsi"/>
                <w:sz w:val="22"/>
                <w:szCs w:val="22"/>
              </w:rPr>
              <w:t>připomínky, na jejichž základě aktuálně probíhá doplnění koncepce.</w:t>
            </w:r>
          </w:p>
        </w:tc>
      </w:tr>
    </w:tbl>
    <w:p w14:paraId="76BA1817" w14:textId="7C49ED53" w:rsidR="00BA6540" w:rsidRDefault="00BA6540">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BA6540" w:rsidRPr="006B443D" w14:paraId="6EA49A30" w14:textId="77777777" w:rsidTr="00710291">
        <w:tc>
          <w:tcPr>
            <w:tcW w:w="833" w:type="pct"/>
            <w:shd w:val="clear" w:color="auto" w:fill="DBE5F1" w:themeFill="accent1" w:themeFillTint="33"/>
            <w:vAlign w:val="center"/>
          </w:tcPr>
          <w:p w14:paraId="5C3B28FC" w14:textId="77777777" w:rsidR="00BA6540" w:rsidRPr="006B443D" w:rsidRDefault="00BA6540" w:rsidP="002C5FC9">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64A0247C" w14:textId="77777777" w:rsidR="00BA6540" w:rsidRPr="006B443D" w:rsidRDefault="00710291" w:rsidP="002C5FC9">
            <w:pPr>
              <w:keepNext/>
              <w:spacing w:before="120" w:after="120"/>
              <w:jc w:val="both"/>
              <w:rPr>
                <w:rFonts w:asciiTheme="minorHAnsi" w:hAnsiTheme="minorHAnsi"/>
                <w:b/>
                <w:sz w:val="22"/>
                <w:szCs w:val="22"/>
              </w:rPr>
            </w:pPr>
            <w:r w:rsidRPr="00710291">
              <w:rPr>
                <w:rFonts w:asciiTheme="minorHAnsi" w:hAnsiTheme="minorHAnsi"/>
                <w:b/>
                <w:sz w:val="22"/>
                <w:szCs w:val="22"/>
              </w:rPr>
              <w:t>Provést výběr lokality pro konečné úložiště VJP, předložit vládě k rozhodnutí</w:t>
            </w:r>
          </w:p>
        </w:tc>
      </w:tr>
      <w:tr w:rsidR="00BA6540" w:rsidRPr="006B443D" w14:paraId="0C7670F8" w14:textId="77777777" w:rsidTr="00710291">
        <w:tc>
          <w:tcPr>
            <w:tcW w:w="833" w:type="pct"/>
            <w:vAlign w:val="center"/>
          </w:tcPr>
          <w:p w14:paraId="3BBC07EB"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37888C2D" w14:textId="77777777" w:rsidR="00BA6540" w:rsidRPr="006B443D" w:rsidRDefault="00710291" w:rsidP="00710291">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710291">
              <w:rPr>
                <w:rFonts w:asciiTheme="minorHAnsi" w:hAnsiTheme="minorHAnsi"/>
                <w:sz w:val="22"/>
                <w:szCs w:val="22"/>
              </w:rPr>
              <w:t>Provést výběr lokality pro konečné úložiště VJP, předložit vládě k</w:t>
            </w:r>
            <w:r>
              <w:rPr>
                <w:rFonts w:asciiTheme="minorHAnsi" w:hAnsiTheme="minorHAnsi"/>
                <w:sz w:val="22"/>
                <w:szCs w:val="22"/>
              </w:rPr>
              <w:t> </w:t>
            </w:r>
            <w:r w:rsidRPr="00710291">
              <w:rPr>
                <w:rFonts w:asciiTheme="minorHAnsi" w:hAnsiTheme="minorHAnsi"/>
                <w:sz w:val="22"/>
                <w:szCs w:val="22"/>
              </w:rPr>
              <w:t>rozhodnut</w:t>
            </w:r>
            <w:r>
              <w:rPr>
                <w:rFonts w:asciiTheme="minorHAnsi" w:hAnsiTheme="minorHAnsi"/>
                <w:sz w:val="22"/>
                <w:szCs w:val="22"/>
              </w:rPr>
              <w:t>í.</w:t>
            </w:r>
          </w:p>
        </w:tc>
      </w:tr>
      <w:tr w:rsidR="00BA6540" w:rsidRPr="006B443D" w14:paraId="150187D2" w14:textId="77777777" w:rsidTr="00710291">
        <w:tc>
          <w:tcPr>
            <w:tcW w:w="833" w:type="pct"/>
            <w:vAlign w:val="center"/>
          </w:tcPr>
          <w:p w14:paraId="36D88CAC"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2C996D44" w14:textId="77777777" w:rsidR="00BA6540" w:rsidRPr="006B443D" w:rsidRDefault="00710291" w:rsidP="00710291">
            <w:pPr>
              <w:spacing w:before="120" w:after="120"/>
              <w:jc w:val="both"/>
              <w:rPr>
                <w:rFonts w:asciiTheme="minorHAnsi" w:hAnsiTheme="minorHAnsi"/>
                <w:sz w:val="22"/>
                <w:szCs w:val="22"/>
              </w:rPr>
            </w:pPr>
            <w:r w:rsidRPr="00710291">
              <w:rPr>
                <w:rFonts w:asciiTheme="minorHAnsi" w:hAnsiTheme="minorHAnsi"/>
                <w:sz w:val="22"/>
                <w:szCs w:val="22"/>
              </w:rPr>
              <w:t>SÚRAO, MPO, v součinnosti se SÚJB</w:t>
            </w:r>
          </w:p>
        </w:tc>
      </w:tr>
      <w:tr w:rsidR="00BA6540" w:rsidRPr="006B443D" w14:paraId="123F1A5F" w14:textId="77777777" w:rsidTr="00710291">
        <w:tc>
          <w:tcPr>
            <w:tcW w:w="833" w:type="pct"/>
            <w:vAlign w:val="center"/>
          </w:tcPr>
          <w:p w14:paraId="76C44D04"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63CB8877" w14:textId="77777777" w:rsidR="00BA6540" w:rsidRPr="006B443D" w:rsidRDefault="00710291" w:rsidP="00710291">
            <w:pPr>
              <w:spacing w:before="120" w:after="120"/>
              <w:jc w:val="both"/>
              <w:rPr>
                <w:rFonts w:asciiTheme="minorHAnsi" w:hAnsiTheme="minorHAnsi"/>
                <w:sz w:val="22"/>
                <w:szCs w:val="22"/>
              </w:rPr>
            </w:pPr>
            <w:r w:rsidRPr="00710291">
              <w:rPr>
                <w:rFonts w:asciiTheme="minorHAnsi" w:hAnsiTheme="minorHAnsi"/>
                <w:sz w:val="22"/>
                <w:szCs w:val="22"/>
              </w:rPr>
              <w:t>do 31. 12. 2025</w:t>
            </w:r>
          </w:p>
        </w:tc>
      </w:tr>
      <w:tr w:rsidR="00BA6540" w:rsidRPr="006B443D" w14:paraId="270366A1" w14:textId="77777777" w:rsidTr="00323AE1">
        <w:trPr>
          <w:cantSplit/>
        </w:trPr>
        <w:tc>
          <w:tcPr>
            <w:tcW w:w="833" w:type="pct"/>
            <w:vAlign w:val="center"/>
          </w:tcPr>
          <w:p w14:paraId="19E35986"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lastRenderedPageBreak/>
              <w:t>Popis plnění</w:t>
            </w:r>
          </w:p>
        </w:tc>
        <w:tc>
          <w:tcPr>
            <w:tcW w:w="4167" w:type="pct"/>
            <w:vAlign w:val="center"/>
          </w:tcPr>
          <w:p w14:paraId="41EE2732" w14:textId="77777777" w:rsidR="00710291" w:rsidRPr="00710291" w:rsidRDefault="00710291" w:rsidP="00710291">
            <w:pPr>
              <w:overflowPunct w:val="0"/>
              <w:autoSpaceDE w:val="0"/>
              <w:autoSpaceDN w:val="0"/>
              <w:adjustRightInd w:val="0"/>
              <w:spacing w:before="120" w:after="120"/>
              <w:jc w:val="both"/>
              <w:textAlignment w:val="baseline"/>
              <w:rPr>
                <w:rFonts w:asciiTheme="minorHAnsi" w:hAnsiTheme="minorHAnsi"/>
                <w:b/>
                <w:sz w:val="22"/>
                <w:szCs w:val="22"/>
              </w:rPr>
            </w:pPr>
            <w:r w:rsidRPr="00710291">
              <w:rPr>
                <w:rFonts w:asciiTheme="minorHAnsi" w:hAnsiTheme="minorHAnsi"/>
                <w:b/>
                <w:sz w:val="22"/>
                <w:szCs w:val="22"/>
              </w:rPr>
              <w:t>Bude splněno ve stanoveném termínu</w:t>
            </w:r>
          </w:p>
          <w:p w14:paraId="686287DF" w14:textId="7E092322" w:rsidR="00BA6540" w:rsidRPr="00D1501A" w:rsidRDefault="00710291" w:rsidP="006E4516">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710291">
              <w:rPr>
                <w:rFonts w:asciiTheme="minorHAnsi" w:hAnsiTheme="minorHAnsi"/>
                <w:sz w:val="22"/>
                <w:szCs w:val="22"/>
              </w:rPr>
              <w:t xml:space="preserve">Výběr lokality bude proveden v návaznosti na schválení Aktualizace Koncepce nakládání s RAO a VJP s termínem do konce roku 2025. </w:t>
            </w:r>
            <w:r w:rsidR="006E4516">
              <w:rPr>
                <w:rFonts w:asciiTheme="minorHAnsi" w:hAnsiTheme="minorHAnsi"/>
                <w:sz w:val="22"/>
                <w:szCs w:val="22"/>
              </w:rPr>
              <w:t xml:space="preserve">Na základě usnesení vlády </w:t>
            </w:r>
            <w:r w:rsidR="008707D7">
              <w:rPr>
                <w:rFonts w:asciiTheme="minorHAnsi" w:hAnsiTheme="minorHAnsi"/>
                <w:sz w:val="22"/>
                <w:szCs w:val="22"/>
              </w:rPr>
              <w:t xml:space="preserve">ČR </w:t>
            </w:r>
            <w:r w:rsidR="006E4516">
              <w:rPr>
                <w:rFonts w:asciiTheme="minorHAnsi" w:hAnsiTheme="minorHAnsi"/>
                <w:sz w:val="22"/>
                <w:szCs w:val="22"/>
              </w:rPr>
              <w:t xml:space="preserve">č. 464 ze dne 18. července 2018 má SÚRAO (resp. MPO) do 31. ledna 2019 předložit vládě </w:t>
            </w:r>
            <w:r w:rsidR="008707D7">
              <w:rPr>
                <w:rFonts w:asciiTheme="minorHAnsi" w:hAnsiTheme="minorHAnsi"/>
                <w:sz w:val="22"/>
                <w:szCs w:val="22"/>
              </w:rPr>
              <w:t xml:space="preserve">ČR </w:t>
            </w:r>
            <w:r w:rsidR="006E4516">
              <w:rPr>
                <w:rFonts w:asciiTheme="minorHAnsi" w:hAnsiTheme="minorHAnsi"/>
                <w:sz w:val="22"/>
                <w:szCs w:val="22"/>
              </w:rPr>
              <w:t xml:space="preserve">návrh zúžení počtu lokalit pro budoucí hlubinné úložiště na 4 preferované. </w:t>
            </w:r>
            <w:r w:rsidRPr="00710291">
              <w:rPr>
                <w:rFonts w:asciiTheme="minorHAnsi" w:hAnsiTheme="minorHAnsi"/>
                <w:sz w:val="22"/>
                <w:szCs w:val="22"/>
              </w:rPr>
              <w:t>V souladu s milníky plánovanými v Aktualizaci Koncepce nakládání s</w:t>
            </w:r>
            <w:r w:rsidR="00ED5B2D">
              <w:rPr>
                <w:rFonts w:asciiTheme="minorHAnsi" w:hAnsiTheme="minorHAnsi"/>
                <w:sz w:val="22"/>
                <w:szCs w:val="22"/>
              </w:rPr>
              <w:t> RAO a VJP</w:t>
            </w:r>
            <w:r w:rsidRPr="00710291">
              <w:rPr>
                <w:rFonts w:asciiTheme="minorHAnsi" w:hAnsiTheme="minorHAnsi"/>
                <w:sz w:val="22"/>
                <w:szCs w:val="22"/>
              </w:rPr>
              <w:t xml:space="preserve"> má SÚRAO předložit vládě ČR návrh dvou kandidátních lokalit do roku 202</w:t>
            </w:r>
            <w:r w:rsidR="006E4516">
              <w:rPr>
                <w:rFonts w:asciiTheme="minorHAnsi" w:hAnsiTheme="minorHAnsi"/>
                <w:sz w:val="22"/>
                <w:szCs w:val="22"/>
              </w:rPr>
              <w:t>2</w:t>
            </w:r>
            <w:r w:rsidRPr="00710291">
              <w:rPr>
                <w:rFonts w:asciiTheme="minorHAnsi" w:hAnsiTheme="minorHAnsi"/>
                <w:sz w:val="22"/>
                <w:szCs w:val="22"/>
              </w:rPr>
              <w:t xml:space="preserve"> a finální lokality v roce 2025. V návaznosti na rozhodnutí MŽP o</w:t>
            </w:r>
            <w:r w:rsidR="006E4516">
              <w:rPr>
                <w:rFonts w:asciiTheme="minorHAnsi" w:hAnsiTheme="minorHAnsi"/>
                <w:sz w:val="22"/>
                <w:szCs w:val="22"/>
              </w:rPr>
              <w:t> </w:t>
            </w:r>
            <w:r w:rsidRPr="00710291">
              <w:rPr>
                <w:rFonts w:asciiTheme="minorHAnsi" w:hAnsiTheme="minorHAnsi"/>
                <w:sz w:val="22"/>
                <w:szCs w:val="22"/>
              </w:rPr>
              <w:t>stanovení průzkumných území, která umož</w:t>
            </w:r>
            <w:r w:rsidR="006E4516">
              <w:rPr>
                <w:rFonts w:asciiTheme="minorHAnsi" w:hAnsiTheme="minorHAnsi"/>
                <w:sz w:val="22"/>
                <w:szCs w:val="22"/>
              </w:rPr>
              <w:t>nila</w:t>
            </w:r>
            <w:r w:rsidRPr="00710291">
              <w:rPr>
                <w:rFonts w:asciiTheme="minorHAnsi" w:hAnsiTheme="minorHAnsi"/>
                <w:sz w:val="22"/>
                <w:szCs w:val="22"/>
              </w:rPr>
              <w:t xml:space="preserve"> provést první etapu prací a</w:t>
            </w:r>
            <w:r w:rsidR="006E4516">
              <w:rPr>
                <w:rFonts w:asciiTheme="minorHAnsi" w:hAnsiTheme="minorHAnsi"/>
                <w:sz w:val="22"/>
                <w:szCs w:val="22"/>
              </w:rPr>
              <w:t> </w:t>
            </w:r>
            <w:r w:rsidRPr="00710291">
              <w:rPr>
                <w:rFonts w:asciiTheme="minorHAnsi" w:hAnsiTheme="minorHAnsi"/>
                <w:sz w:val="22"/>
                <w:szCs w:val="22"/>
              </w:rPr>
              <w:t xml:space="preserve">jejichž účelem </w:t>
            </w:r>
            <w:r w:rsidR="006E4516">
              <w:rPr>
                <w:rFonts w:asciiTheme="minorHAnsi" w:hAnsiTheme="minorHAnsi"/>
                <w:sz w:val="22"/>
                <w:szCs w:val="22"/>
              </w:rPr>
              <w:t>bylo</w:t>
            </w:r>
            <w:r w:rsidRPr="00710291">
              <w:rPr>
                <w:rFonts w:asciiTheme="minorHAnsi" w:hAnsiTheme="minorHAnsi"/>
                <w:sz w:val="22"/>
                <w:szCs w:val="22"/>
              </w:rPr>
              <w:t xml:space="preserve"> získání </w:t>
            </w:r>
            <w:proofErr w:type="spellStart"/>
            <w:r w:rsidRPr="00710291">
              <w:rPr>
                <w:rFonts w:asciiTheme="minorHAnsi" w:hAnsiTheme="minorHAnsi"/>
                <w:sz w:val="22"/>
                <w:szCs w:val="22"/>
              </w:rPr>
              <w:t>geovědních</w:t>
            </w:r>
            <w:proofErr w:type="spellEnd"/>
            <w:r w:rsidRPr="00710291">
              <w:rPr>
                <w:rFonts w:asciiTheme="minorHAnsi" w:hAnsiTheme="minorHAnsi"/>
                <w:sz w:val="22"/>
                <w:szCs w:val="22"/>
              </w:rPr>
              <w:t xml:space="preserve"> charakteristik těchto území, bude provedeno vzájemné porovnání hodnocených lokalit. Výběr dvou kandidátních lokalit a posléze také finální lokality předpokládá provést další etapu průzkumů, které umožní získat data z větších hloubek. Před zahájením této etapy bude nutné v doporučených lokalitách požádat MŽP o stanovení průzkumných území pro provedení technických prací. Získaná data budou podkladem pro další vzájemné porovnání hodnocených lokalit a doporučení finální lokality.</w:t>
            </w:r>
          </w:p>
        </w:tc>
      </w:tr>
    </w:tbl>
    <w:p w14:paraId="4885088D" w14:textId="77777777" w:rsidR="00BA6540" w:rsidRDefault="00BA6540">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BA6540" w:rsidRPr="006B443D" w14:paraId="0668F5DA" w14:textId="77777777" w:rsidTr="00710291">
        <w:tc>
          <w:tcPr>
            <w:tcW w:w="833" w:type="pct"/>
            <w:shd w:val="clear" w:color="auto" w:fill="DBE5F1" w:themeFill="accent1" w:themeFillTint="33"/>
            <w:vAlign w:val="center"/>
          </w:tcPr>
          <w:p w14:paraId="32A5EFCD" w14:textId="77777777" w:rsidR="00BA6540" w:rsidRPr="006B443D" w:rsidRDefault="00BA6540" w:rsidP="002C5FC9">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22ED5880" w14:textId="4FFE1B42" w:rsidR="00BA6540" w:rsidRPr="006B443D" w:rsidRDefault="00710291" w:rsidP="002C5FC9">
            <w:pPr>
              <w:keepNext/>
              <w:spacing w:before="120" w:after="120"/>
              <w:jc w:val="both"/>
              <w:rPr>
                <w:rFonts w:asciiTheme="minorHAnsi" w:hAnsiTheme="minorHAnsi"/>
                <w:b/>
                <w:sz w:val="22"/>
                <w:szCs w:val="22"/>
              </w:rPr>
            </w:pPr>
            <w:r w:rsidRPr="00710291">
              <w:rPr>
                <w:rFonts w:asciiTheme="minorHAnsi" w:hAnsiTheme="minorHAnsi"/>
                <w:b/>
                <w:sz w:val="22"/>
                <w:szCs w:val="22"/>
              </w:rPr>
              <w:t>Aktualizovat jednou za dva roky Národní akční plán ČR pro energii z</w:t>
            </w:r>
            <w:r w:rsidR="002F1E7C">
              <w:rPr>
                <w:rFonts w:asciiTheme="minorHAnsi" w:hAnsiTheme="minorHAnsi"/>
                <w:b/>
                <w:sz w:val="22"/>
                <w:szCs w:val="22"/>
              </w:rPr>
              <w:t> </w:t>
            </w:r>
            <w:r w:rsidRPr="00710291">
              <w:rPr>
                <w:rFonts w:asciiTheme="minorHAnsi" w:hAnsiTheme="minorHAnsi"/>
                <w:b/>
                <w:sz w:val="22"/>
                <w:szCs w:val="22"/>
              </w:rPr>
              <w:t>obnovitelných zdrojů</w:t>
            </w:r>
          </w:p>
        </w:tc>
      </w:tr>
      <w:tr w:rsidR="00BA6540" w:rsidRPr="006B443D" w14:paraId="230692A6" w14:textId="77777777" w:rsidTr="002C5FC9">
        <w:tc>
          <w:tcPr>
            <w:tcW w:w="833" w:type="pct"/>
            <w:vAlign w:val="center"/>
          </w:tcPr>
          <w:p w14:paraId="03AC6D63"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08ED237E" w14:textId="77777777" w:rsidR="00710291" w:rsidRPr="00710291" w:rsidRDefault="00710291" w:rsidP="00710291">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710291">
              <w:rPr>
                <w:rFonts w:asciiTheme="minorHAnsi" w:hAnsiTheme="minorHAnsi"/>
                <w:sz w:val="22"/>
                <w:szCs w:val="22"/>
              </w:rPr>
              <w:t>Analýza skutečného vývoje OZE, plnění záměrů SEK.</w:t>
            </w:r>
          </w:p>
          <w:p w14:paraId="0C7758EA" w14:textId="77777777" w:rsidR="00710291" w:rsidRPr="00710291" w:rsidRDefault="00710291" w:rsidP="00710291">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710291">
              <w:rPr>
                <w:rFonts w:asciiTheme="minorHAnsi" w:hAnsiTheme="minorHAnsi"/>
                <w:sz w:val="22"/>
                <w:szCs w:val="22"/>
              </w:rPr>
              <w:t>Vyhodnocení ekonomických dopadů v rámci samostatného materiálu.</w:t>
            </w:r>
          </w:p>
          <w:p w14:paraId="599ACF11" w14:textId="77777777" w:rsidR="00BA6540" w:rsidRPr="006B443D" w:rsidRDefault="00710291" w:rsidP="00710291">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710291">
              <w:rPr>
                <w:rFonts w:asciiTheme="minorHAnsi" w:hAnsiTheme="minorHAnsi"/>
                <w:sz w:val="22"/>
                <w:szCs w:val="22"/>
              </w:rPr>
              <w:t>Aktualizace a prodloužení do roku 2030 nejpozději v roce 2016.</w:t>
            </w:r>
          </w:p>
        </w:tc>
      </w:tr>
      <w:tr w:rsidR="00BA6540" w:rsidRPr="006B443D" w14:paraId="62CEB771" w14:textId="77777777" w:rsidTr="00710291">
        <w:tc>
          <w:tcPr>
            <w:tcW w:w="833" w:type="pct"/>
            <w:vAlign w:val="center"/>
          </w:tcPr>
          <w:p w14:paraId="4E34AB1E"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55957C4F" w14:textId="77777777" w:rsidR="00BA6540" w:rsidRPr="006B443D" w:rsidRDefault="00710291" w:rsidP="00710291">
            <w:pPr>
              <w:spacing w:before="120" w:after="120"/>
              <w:jc w:val="both"/>
              <w:rPr>
                <w:rFonts w:asciiTheme="minorHAnsi" w:hAnsiTheme="minorHAnsi"/>
                <w:sz w:val="22"/>
                <w:szCs w:val="22"/>
              </w:rPr>
            </w:pPr>
            <w:r>
              <w:rPr>
                <w:rFonts w:asciiTheme="minorHAnsi" w:hAnsiTheme="minorHAnsi"/>
                <w:sz w:val="22"/>
                <w:szCs w:val="22"/>
              </w:rPr>
              <w:t>MPO</w:t>
            </w:r>
          </w:p>
        </w:tc>
      </w:tr>
      <w:tr w:rsidR="00BA6540" w:rsidRPr="006B443D" w14:paraId="44FB6C82" w14:textId="77777777" w:rsidTr="00710291">
        <w:tc>
          <w:tcPr>
            <w:tcW w:w="833" w:type="pct"/>
            <w:vAlign w:val="center"/>
          </w:tcPr>
          <w:p w14:paraId="2F60549A"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1D9A56AA" w14:textId="77777777" w:rsidR="00BA6540" w:rsidRPr="006B443D" w:rsidRDefault="00710291" w:rsidP="00710291">
            <w:pPr>
              <w:spacing w:before="120" w:after="120"/>
              <w:jc w:val="both"/>
              <w:rPr>
                <w:rFonts w:asciiTheme="minorHAnsi" w:hAnsiTheme="minorHAnsi"/>
                <w:sz w:val="22"/>
                <w:szCs w:val="22"/>
              </w:rPr>
            </w:pPr>
            <w:r w:rsidRPr="00710291">
              <w:rPr>
                <w:rFonts w:asciiTheme="minorHAnsi" w:hAnsiTheme="minorHAnsi"/>
                <w:sz w:val="22"/>
                <w:szCs w:val="22"/>
              </w:rPr>
              <w:t>do 31. 12. 2014 a každé další dva roky</w:t>
            </w:r>
          </w:p>
        </w:tc>
      </w:tr>
      <w:tr w:rsidR="00BA6540" w:rsidRPr="006B443D" w14:paraId="5BF3A7C2" w14:textId="77777777" w:rsidTr="00710291">
        <w:tc>
          <w:tcPr>
            <w:tcW w:w="833" w:type="pct"/>
            <w:vAlign w:val="center"/>
          </w:tcPr>
          <w:p w14:paraId="7C7E8C44" w14:textId="77777777" w:rsidR="00BA6540" w:rsidRPr="006B443D" w:rsidRDefault="00BA6540"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1DD81320" w14:textId="6D88200B" w:rsidR="00710291" w:rsidRPr="00710291" w:rsidRDefault="00710291" w:rsidP="00710291">
            <w:pPr>
              <w:overflowPunct w:val="0"/>
              <w:autoSpaceDE w:val="0"/>
              <w:autoSpaceDN w:val="0"/>
              <w:adjustRightInd w:val="0"/>
              <w:spacing w:before="120" w:after="120"/>
              <w:jc w:val="both"/>
              <w:textAlignment w:val="baseline"/>
              <w:rPr>
                <w:rFonts w:asciiTheme="minorHAnsi" w:hAnsiTheme="minorHAnsi"/>
                <w:b/>
                <w:sz w:val="22"/>
                <w:szCs w:val="22"/>
              </w:rPr>
            </w:pPr>
            <w:r w:rsidRPr="00710291">
              <w:rPr>
                <w:rFonts w:asciiTheme="minorHAnsi" w:hAnsiTheme="minorHAnsi"/>
                <w:b/>
                <w:sz w:val="22"/>
                <w:szCs w:val="22"/>
              </w:rPr>
              <w:t>Splněno dílčím způsobem</w:t>
            </w:r>
            <w:r>
              <w:rPr>
                <w:rFonts w:asciiTheme="minorHAnsi" w:hAnsiTheme="minorHAnsi"/>
                <w:b/>
                <w:sz w:val="22"/>
                <w:szCs w:val="22"/>
              </w:rPr>
              <w:t xml:space="preserve"> + plněno průběžně</w:t>
            </w:r>
          </w:p>
          <w:p w14:paraId="0562875F" w14:textId="3F95C6DD" w:rsidR="00710291" w:rsidRPr="00710291" w:rsidRDefault="009D1D20" w:rsidP="00710291">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Poslední a</w:t>
            </w:r>
            <w:r w:rsidR="00710291" w:rsidRPr="00710291">
              <w:rPr>
                <w:rFonts w:asciiTheme="minorHAnsi" w:hAnsiTheme="minorHAnsi"/>
                <w:sz w:val="22"/>
                <w:szCs w:val="22"/>
              </w:rPr>
              <w:t>ktualizace NAP OZE byla schválena vládou ČR</w:t>
            </w:r>
            <w:r w:rsidR="008707D7">
              <w:rPr>
                <w:rFonts w:asciiTheme="minorHAnsi" w:hAnsiTheme="minorHAnsi"/>
                <w:sz w:val="22"/>
                <w:szCs w:val="22"/>
              </w:rPr>
              <w:t>,</w:t>
            </w:r>
            <w:r w:rsidR="008967B3">
              <w:rPr>
                <w:rFonts w:asciiTheme="minorHAnsi" w:hAnsiTheme="minorHAnsi"/>
                <w:sz w:val="22"/>
                <w:szCs w:val="22"/>
              </w:rPr>
              <w:t xml:space="preserve"> </w:t>
            </w:r>
            <w:r w:rsidR="00710291" w:rsidRPr="00710291">
              <w:rPr>
                <w:rFonts w:asciiTheme="minorHAnsi" w:hAnsiTheme="minorHAnsi"/>
                <w:sz w:val="22"/>
                <w:szCs w:val="22"/>
              </w:rPr>
              <w:t>usnesením č. 47</w:t>
            </w:r>
            <w:r>
              <w:rPr>
                <w:rFonts w:asciiTheme="minorHAnsi" w:hAnsiTheme="minorHAnsi"/>
                <w:sz w:val="22"/>
                <w:szCs w:val="22"/>
              </w:rPr>
              <w:t xml:space="preserve"> ze dne</w:t>
            </w:r>
            <w:r w:rsidRPr="00710291">
              <w:rPr>
                <w:rFonts w:asciiTheme="minorHAnsi" w:hAnsiTheme="minorHAnsi"/>
                <w:sz w:val="22"/>
                <w:szCs w:val="22"/>
              </w:rPr>
              <w:t xml:space="preserve"> 25. ledna 2016</w:t>
            </w:r>
            <w:r w:rsidR="00710291" w:rsidRPr="00710291">
              <w:rPr>
                <w:rFonts w:asciiTheme="minorHAnsi" w:hAnsiTheme="minorHAnsi"/>
                <w:sz w:val="22"/>
                <w:szCs w:val="22"/>
              </w:rPr>
              <w:t>.</w:t>
            </w:r>
          </w:p>
          <w:p w14:paraId="3B63A6F4" w14:textId="6FFADB55" w:rsidR="008C248D" w:rsidRPr="008967B3" w:rsidRDefault="00710291" w:rsidP="008C248D">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710291">
              <w:rPr>
                <w:rFonts w:asciiTheme="minorHAnsi" w:hAnsiTheme="minorHAnsi"/>
                <w:sz w:val="22"/>
                <w:szCs w:val="22"/>
              </w:rPr>
              <w:t xml:space="preserve">Na základě požadavku MŽP a </w:t>
            </w:r>
            <w:proofErr w:type="spellStart"/>
            <w:r w:rsidRPr="00710291">
              <w:rPr>
                <w:rFonts w:asciiTheme="minorHAnsi" w:hAnsiTheme="minorHAnsi"/>
                <w:sz w:val="22"/>
                <w:szCs w:val="22"/>
              </w:rPr>
              <w:t>MZe</w:t>
            </w:r>
            <w:proofErr w:type="spellEnd"/>
            <w:r w:rsidRPr="00710291">
              <w:rPr>
                <w:rFonts w:asciiTheme="minorHAnsi" w:hAnsiTheme="minorHAnsi"/>
                <w:sz w:val="22"/>
                <w:szCs w:val="22"/>
              </w:rPr>
              <w:t xml:space="preserve"> nebyla součástí této aktualizace oblast dopravy, která bude aktualizována až v roce 2017 na základě analýzy naplnění a</w:t>
            </w:r>
            <w:r w:rsidR="008C248D">
              <w:rPr>
                <w:rFonts w:asciiTheme="minorHAnsi" w:hAnsiTheme="minorHAnsi"/>
                <w:sz w:val="22"/>
                <w:szCs w:val="22"/>
              </w:rPr>
              <w:t> </w:t>
            </w:r>
            <w:r w:rsidRPr="00710291">
              <w:rPr>
                <w:rFonts w:asciiTheme="minorHAnsi" w:hAnsiTheme="minorHAnsi"/>
                <w:sz w:val="22"/>
                <w:szCs w:val="22"/>
              </w:rPr>
              <w:t>možností uplatnění tzv. pokročilých biopaliv</w:t>
            </w:r>
            <w:r w:rsidR="008C248D">
              <w:rPr>
                <w:rFonts w:asciiTheme="minorHAnsi" w:hAnsiTheme="minorHAnsi"/>
                <w:sz w:val="22"/>
                <w:szCs w:val="22"/>
              </w:rPr>
              <w:t xml:space="preserve">. </w:t>
            </w:r>
            <w:r w:rsidR="008C248D" w:rsidRPr="008C248D">
              <w:rPr>
                <w:rFonts w:asciiTheme="minorHAnsi" w:hAnsiTheme="minorHAnsi"/>
                <w:sz w:val="22"/>
                <w:szCs w:val="22"/>
              </w:rPr>
              <w:t>Analýzu zajištění splnitelnosti 10% cíle obnovitelných zdrojů energie v dopravě v roce 2020, zohledňující nové požadavky obsažené ve směrnici Evropského parlamentu a Rady</w:t>
            </w:r>
            <w:r w:rsidR="008C248D">
              <w:rPr>
                <w:rFonts w:asciiTheme="minorHAnsi" w:hAnsiTheme="minorHAnsi"/>
                <w:sz w:val="22"/>
                <w:szCs w:val="22"/>
              </w:rPr>
              <w:t xml:space="preserve"> č.</w:t>
            </w:r>
            <w:r w:rsidR="008C248D" w:rsidRPr="008C248D">
              <w:rPr>
                <w:rFonts w:asciiTheme="minorHAnsi" w:hAnsiTheme="minorHAnsi"/>
                <w:sz w:val="22"/>
                <w:szCs w:val="22"/>
              </w:rPr>
              <w:t xml:space="preserve"> 2015/1513, </w:t>
            </w:r>
            <w:r w:rsidR="008C248D" w:rsidRPr="008967B3">
              <w:rPr>
                <w:rFonts w:asciiTheme="minorHAnsi" w:hAnsiTheme="minorHAnsi"/>
                <w:sz w:val="22"/>
                <w:szCs w:val="22"/>
              </w:rPr>
              <w:t>kterou se mění směrnice č. 98/70/ES, o jakosti benzínu a motorové nafty, a směrnice č. 2009/28/ES, o podpoře využívání energie z obnovitelných zdrojů, vláda ČR projednala dne 20. července 2017, Tím byl úkol daný usnesením</w:t>
            </w:r>
            <w:r w:rsidR="009D1D20">
              <w:rPr>
                <w:rFonts w:asciiTheme="minorHAnsi" w:hAnsiTheme="minorHAnsi"/>
                <w:sz w:val="22"/>
                <w:szCs w:val="22"/>
              </w:rPr>
              <w:t xml:space="preserve"> vlády</w:t>
            </w:r>
            <w:r w:rsidR="008C248D" w:rsidRPr="008967B3">
              <w:rPr>
                <w:rFonts w:asciiTheme="minorHAnsi" w:hAnsiTheme="minorHAnsi"/>
                <w:sz w:val="22"/>
                <w:szCs w:val="22"/>
              </w:rPr>
              <w:t xml:space="preserve"> </w:t>
            </w:r>
            <w:r w:rsidR="008707D7">
              <w:rPr>
                <w:rFonts w:asciiTheme="minorHAnsi" w:hAnsiTheme="minorHAnsi"/>
                <w:sz w:val="22"/>
                <w:szCs w:val="22"/>
              </w:rPr>
              <w:t xml:space="preserve">ČR </w:t>
            </w:r>
            <w:r w:rsidR="008C248D" w:rsidRPr="008967B3">
              <w:rPr>
                <w:rFonts w:asciiTheme="minorHAnsi" w:hAnsiTheme="minorHAnsi"/>
                <w:sz w:val="22"/>
                <w:szCs w:val="22"/>
              </w:rPr>
              <w:t>č. 47 ze dne 25. ledna 2016, jímž byla schválena aktualizace NAP OZE, splněn.</w:t>
            </w:r>
          </w:p>
          <w:p w14:paraId="68A6A422" w14:textId="431EE7FD" w:rsidR="00BA6540" w:rsidRPr="00D1501A" w:rsidRDefault="009E654C" w:rsidP="00631149">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8967B3">
              <w:rPr>
                <w:rFonts w:asciiTheme="minorHAnsi" w:hAnsiTheme="minorHAnsi"/>
                <w:sz w:val="22"/>
                <w:szCs w:val="22"/>
              </w:rPr>
              <w:t>Prodloužení horizontu NAP OZE</w:t>
            </w:r>
            <w:r w:rsidR="008967B3" w:rsidRPr="008967B3">
              <w:rPr>
                <w:rFonts w:asciiTheme="minorHAnsi" w:hAnsiTheme="minorHAnsi"/>
                <w:sz w:val="22"/>
                <w:szCs w:val="22"/>
              </w:rPr>
              <w:t xml:space="preserve"> na</w:t>
            </w:r>
            <w:r w:rsidRPr="008967B3">
              <w:rPr>
                <w:rFonts w:asciiTheme="minorHAnsi" w:hAnsiTheme="minorHAnsi"/>
                <w:sz w:val="22"/>
                <w:szCs w:val="22"/>
              </w:rPr>
              <w:t xml:space="preserve"> období do roku 2030, bude již součástí tzv. Národního integrovaného energeticko-klimatického plánu, který </w:t>
            </w:r>
            <w:r w:rsidR="00631149">
              <w:rPr>
                <w:rFonts w:asciiTheme="minorHAnsi" w:hAnsiTheme="minorHAnsi"/>
                <w:sz w:val="22"/>
                <w:szCs w:val="22"/>
              </w:rPr>
              <w:t>je v současné době</w:t>
            </w:r>
            <w:r w:rsidRPr="008967B3">
              <w:rPr>
                <w:rFonts w:asciiTheme="minorHAnsi" w:hAnsiTheme="minorHAnsi"/>
                <w:sz w:val="22"/>
                <w:szCs w:val="22"/>
              </w:rPr>
              <w:t xml:space="preserve"> připrav</w:t>
            </w:r>
            <w:r w:rsidR="00631149">
              <w:rPr>
                <w:rFonts w:asciiTheme="minorHAnsi" w:hAnsiTheme="minorHAnsi"/>
                <w:sz w:val="22"/>
                <w:szCs w:val="22"/>
              </w:rPr>
              <w:t xml:space="preserve">ován v návaznosti na schválení </w:t>
            </w:r>
            <w:r w:rsidRPr="008967B3">
              <w:rPr>
                <w:rFonts w:asciiTheme="minorHAnsi" w:hAnsiTheme="minorHAnsi"/>
                <w:sz w:val="22"/>
                <w:szCs w:val="22"/>
              </w:rPr>
              <w:t>nařízení Evropského parlamentu a</w:t>
            </w:r>
            <w:r w:rsidR="00631149">
              <w:rPr>
                <w:rFonts w:asciiTheme="minorHAnsi" w:hAnsiTheme="minorHAnsi"/>
                <w:sz w:val="22"/>
                <w:szCs w:val="22"/>
              </w:rPr>
              <w:t> </w:t>
            </w:r>
            <w:r w:rsidRPr="008967B3">
              <w:rPr>
                <w:rFonts w:asciiTheme="minorHAnsi" w:hAnsiTheme="minorHAnsi"/>
                <w:sz w:val="22"/>
                <w:szCs w:val="22"/>
              </w:rPr>
              <w:t>Rady o </w:t>
            </w:r>
            <w:r w:rsidRPr="008967B3">
              <w:rPr>
                <w:rFonts w:asciiTheme="minorHAnsi" w:hAnsiTheme="minorHAnsi"/>
                <w:bCs/>
                <w:sz w:val="22"/>
                <w:szCs w:val="22"/>
              </w:rPr>
              <w:t>správě Energetické unie</w:t>
            </w:r>
            <w:r w:rsidR="008967B3" w:rsidRPr="008967B3">
              <w:rPr>
                <w:rFonts w:asciiTheme="minorHAnsi" w:hAnsiTheme="minorHAnsi"/>
                <w:bCs/>
                <w:sz w:val="22"/>
                <w:szCs w:val="22"/>
              </w:rPr>
              <w:t>.</w:t>
            </w:r>
            <w:r w:rsidR="008967B3">
              <w:rPr>
                <w:rFonts w:asciiTheme="minorHAnsi" w:hAnsiTheme="minorHAnsi"/>
                <w:bCs/>
                <w:sz w:val="22"/>
                <w:szCs w:val="22"/>
              </w:rPr>
              <w:t xml:space="preserve"> V rámci nastavování cílů do roku 2030 bude současně provedeno i vyhodnocení ekonomických dopadů.</w:t>
            </w:r>
            <w:r w:rsidR="00631149">
              <w:rPr>
                <w:rFonts w:asciiTheme="minorHAnsi" w:hAnsiTheme="minorHAnsi"/>
                <w:bCs/>
                <w:sz w:val="22"/>
                <w:szCs w:val="22"/>
              </w:rPr>
              <w:t xml:space="preserve"> Návrh dokumentu by měl být Evropské komisi předložen do konce roku 2018.</w:t>
            </w:r>
          </w:p>
        </w:tc>
      </w:tr>
    </w:tbl>
    <w:p w14:paraId="2D779D89" w14:textId="77777777" w:rsidR="00BA6540" w:rsidRDefault="00BA6540">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BA6540" w:rsidRPr="006B443D" w14:paraId="3D3B7903" w14:textId="77777777" w:rsidTr="00710291">
        <w:tc>
          <w:tcPr>
            <w:tcW w:w="833" w:type="pct"/>
            <w:shd w:val="clear" w:color="auto" w:fill="DBE5F1" w:themeFill="accent1" w:themeFillTint="33"/>
            <w:vAlign w:val="center"/>
          </w:tcPr>
          <w:p w14:paraId="60E3655D" w14:textId="77777777" w:rsidR="00BA6540" w:rsidRPr="006B443D" w:rsidRDefault="00BA6540" w:rsidP="00323AE1">
            <w:pPr>
              <w:keepNext/>
              <w:jc w:val="center"/>
              <w:rPr>
                <w:rFonts w:asciiTheme="minorHAnsi" w:hAnsiTheme="minorHAnsi"/>
                <w:b/>
                <w:sz w:val="22"/>
                <w:szCs w:val="22"/>
              </w:rPr>
            </w:pPr>
            <w:r w:rsidRPr="006B443D">
              <w:rPr>
                <w:rFonts w:asciiTheme="minorHAnsi" w:hAnsiTheme="minorHAnsi"/>
                <w:b/>
                <w:sz w:val="22"/>
                <w:szCs w:val="22"/>
              </w:rPr>
              <w:lastRenderedPageBreak/>
              <w:t>Nástroj</w:t>
            </w:r>
          </w:p>
        </w:tc>
        <w:tc>
          <w:tcPr>
            <w:tcW w:w="4167" w:type="pct"/>
            <w:shd w:val="clear" w:color="auto" w:fill="DBE5F1" w:themeFill="accent1" w:themeFillTint="33"/>
            <w:vAlign w:val="center"/>
          </w:tcPr>
          <w:p w14:paraId="0EB47D66" w14:textId="77777777" w:rsidR="00BA6540" w:rsidRPr="006B443D" w:rsidRDefault="00710291" w:rsidP="00323AE1">
            <w:pPr>
              <w:keepNext/>
              <w:spacing w:before="120" w:after="120"/>
              <w:jc w:val="both"/>
              <w:rPr>
                <w:rFonts w:asciiTheme="minorHAnsi" w:hAnsiTheme="minorHAnsi"/>
                <w:b/>
                <w:sz w:val="22"/>
                <w:szCs w:val="22"/>
              </w:rPr>
            </w:pPr>
            <w:r w:rsidRPr="00710291">
              <w:rPr>
                <w:rFonts w:asciiTheme="minorHAnsi" w:hAnsiTheme="minorHAnsi"/>
                <w:b/>
                <w:sz w:val="22"/>
                <w:szCs w:val="22"/>
              </w:rPr>
              <w:t>Zpracovat Národní akční plán implementace inteligentních sítí</w:t>
            </w:r>
          </w:p>
        </w:tc>
      </w:tr>
      <w:tr w:rsidR="00BA6540" w:rsidRPr="006B443D" w14:paraId="5841EBF9" w14:textId="77777777" w:rsidTr="00710291">
        <w:tc>
          <w:tcPr>
            <w:tcW w:w="833" w:type="pct"/>
            <w:vAlign w:val="center"/>
          </w:tcPr>
          <w:p w14:paraId="2D9E4274" w14:textId="77777777" w:rsidR="00BA6540" w:rsidRPr="006B443D" w:rsidRDefault="00BA6540" w:rsidP="00B1114F">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2B68383B" w14:textId="77777777" w:rsidR="00BA6540" w:rsidRPr="006B443D" w:rsidRDefault="00710291" w:rsidP="00B1114F">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710291">
              <w:rPr>
                <w:rFonts w:asciiTheme="minorHAnsi" w:hAnsiTheme="minorHAnsi"/>
                <w:sz w:val="22"/>
                <w:szCs w:val="22"/>
              </w:rPr>
              <w:t>Analýza dopadů, specifikace nástrojů, časového harmonogramu a zajištění řízení programu a předložení vládě ke schválení.</w:t>
            </w:r>
          </w:p>
        </w:tc>
      </w:tr>
      <w:tr w:rsidR="00BA6540" w:rsidRPr="006B443D" w14:paraId="09D99AD7" w14:textId="77777777" w:rsidTr="00710291">
        <w:tc>
          <w:tcPr>
            <w:tcW w:w="833" w:type="pct"/>
            <w:vAlign w:val="center"/>
          </w:tcPr>
          <w:p w14:paraId="7406A6AA" w14:textId="77777777" w:rsidR="00BA6540" w:rsidRPr="006B443D" w:rsidRDefault="00BA6540" w:rsidP="00B1114F">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3E34C796" w14:textId="77777777" w:rsidR="00BA6540" w:rsidRPr="006B443D" w:rsidRDefault="00710291" w:rsidP="00B1114F">
            <w:pPr>
              <w:spacing w:before="120" w:after="120"/>
              <w:jc w:val="both"/>
              <w:rPr>
                <w:rFonts w:asciiTheme="minorHAnsi" w:hAnsiTheme="minorHAnsi"/>
                <w:sz w:val="22"/>
                <w:szCs w:val="22"/>
              </w:rPr>
            </w:pPr>
            <w:r>
              <w:rPr>
                <w:rFonts w:asciiTheme="minorHAnsi" w:hAnsiTheme="minorHAnsi"/>
                <w:sz w:val="22"/>
                <w:szCs w:val="22"/>
              </w:rPr>
              <w:t>MPO</w:t>
            </w:r>
          </w:p>
        </w:tc>
      </w:tr>
      <w:tr w:rsidR="00BA6540" w:rsidRPr="006B443D" w14:paraId="1513F42C" w14:textId="77777777" w:rsidTr="00710291">
        <w:tc>
          <w:tcPr>
            <w:tcW w:w="833" w:type="pct"/>
            <w:vAlign w:val="center"/>
          </w:tcPr>
          <w:p w14:paraId="7C15D94F" w14:textId="77777777" w:rsidR="00BA6540" w:rsidRPr="006B443D" w:rsidRDefault="00BA6540" w:rsidP="00B1114F">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6D3E962B" w14:textId="77777777" w:rsidR="00BA6540" w:rsidRPr="006B443D" w:rsidRDefault="00710291" w:rsidP="00B1114F">
            <w:pPr>
              <w:spacing w:before="120" w:after="120"/>
              <w:jc w:val="both"/>
              <w:rPr>
                <w:rFonts w:asciiTheme="minorHAnsi" w:hAnsiTheme="minorHAnsi"/>
                <w:sz w:val="22"/>
                <w:szCs w:val="22"/>
              </w:rPr>
            </w:pPr>
            <w:r w:rsidRPr="00710291">
              <w:rPr>
                <w:rFonts w:asciiTheme="minorHAnsi" w:hAnsiTheme="minorHAnsi"/>
                <w:sz w:val="22"/>
                <w:szCs w:val="22"/>
              </w:rPr>
              <w:t>do 31. 12. 2014, následně aktualizovat každé tři roky</w:t>
            </w:r>
          </w:p>
        </w:tc>
      </w:tr>
      <w:tr w:rsidR="00BA6540" w:rsidRPr="006B443D" w14:paraId="6CB6E468" w14:textId="77777777" w:rsidTr="00B1114F">
        <w:tc>
          <w:tcPr>
            <w:tcW w:w="833" w:type="pct"/>
            <w:vAlign w:val="center"/>
          </w:tcPr>
          <w:p w14:paraId="398AFBE6" w14:textId="77777777" w:rsidR="00BA6540" w:rsidRPr="006B443D" w:rsidRDefault="00BA6540" w:rsidP="00B1114F">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23EE7E13" w14:textId="77777777" w:rsidR="00710291" w:rsidRPr="00710291" w:rsidRDefault="00710291" w:rsidP="00B1114F">
            <w:pPr>
              <w:overflowPunct w:val="0"/>
              <w:autoSpaceDE w:val="0"/>
              <w:autoSpaceDN w:val="0"/>
              <w:adjustRightInd w:val="0"/>
              <w:spacing w:before="120" w:after="120"/>
              <w:jc w:val="both"/>
              <w:textAlignment w:val="baseline"/>
              <w:rPr>
                <w:rFonts w:asciiTheme="minorHAnsi" w:hAnsiTheme="minorHAnsi"/>
                <w:b/>
                <w:sz w:val="22"/>
                <w:szCs w:val="22"/>
              </w:rPr>
            </w:pPr>
            <w:r w:rsidRPr="00710291">
              <w:rPr>
                <w:rFonts w:asciiTheme="minorHAnsi" w:hAnsiTheme="minorHAnsi"/>
                <w:b/>
                <w:sz w:val="22"/>
                <w:szCs w:val="22"/>
              </w:rPr>
              <w:t>Splněno + plněno průběžně</w:t>
            </w:r>
          </w:p>
          <w:p w14:paraId="0F675860" w14:textId="3008BBF9" w:rsidR="00710291" w:rsidRPr="005624FC" w:rsidRDefault="00710291" w:rsidP="005624FC">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710291">
              <w:rPr>
                <w:rFonts w:asciiTheme="minorHAnsi" w:hAnsiTheme="minorHAnsi"/>
                <w:sz w:val="22"/>
                <w:szCs w:val="22"/>
              </w:rPr>
              <w:t xml:space="preserve">NAP SG byl vládou ČR </w:t>
            </w:r>
            <w:r w:rsidR="00090AA7" w:rsidRPr="00710291">
              <w:rPr>
                <w:rFonts w:asciiTheme="minorHAnsi" w:hAnsiTheme="minorHAnsi"/>
                <w:sz w:val="22"/>
                <w:szCs w:val="22"/>
              </w:rPr>
              <w:t xml:space="preserve">vzat na vědomí </w:t>
            </w:r>
            <w:r w:rsidR="008707D7">
              <w:rPr>
                <w:rFonts w:asciiTheme="minorHAnsi" w:hAnsiTheme="minorHAnsi"/>
                <w:sz w:val="22"/>
                <w:szCs w:val="22"/>
              </w:rPr>
              <w:t xml:space="preserve">jejím </w:t>
            </w:r>
            <w:r w:rsidR="00090AA7">
              <w:rPr>
                <w:rFonts w:asciiTheme="minorHAnsi" w:hAnsiTheme="minorHAnsi"/>
                <w:sz w:val="22"/>
                <w:szCs w:val="22"/>
              </w:rPr>
              <w:t>usnesením</w:t>
            </w:r>
            <w:r w:rsidR="00090AA7" w:rsidRPr="00710291">
              <w:rPr>
                <w:rFonts w:asciiTheme="minorHAnsi" w:hAnsiTheme="minorHAnsi"/>
                <w:sz w:val="22"/>
                <w:szCs w:val="22"/>
              </w:rPr>
              <w:t xml:space="preserve"> č.</w:t>
            </w:r>
            <w:r w:rsidR="00090AA7">
              <w:rPr>
                <w:rFonts w:asciiTheme="minorHAnsi" w:hAnsiTheme="minorHAnsi"/>
                <w:sz w:val="22"/>
                <w:szCs w:val="22"/>
              </w:rPr>
              <w:t> </w:t>
            </w:r>
            <w:r w:rsidR="00090AA7" w:rsidRPr="00710291">
              <w:rPr>
                <w:rFonts w:asciiTheme="minorHAnsi" w:hAnsiTheme="minorHAnsi"/>
                <w:sz w:val="22"/>
                <w:szCs w:val="22"/>
              </w:rPr>
              <w:t>149</w:t>
            </w:r>
            <w:r w:rsidR="00090AA7">
              <w:rPr>
                <w:rFonts w:asciiTheme="minorHAnsi" w:hAnsiTheme="minorHAnsi"/>
                <w:sz w:val="22"/>
                <w:szCs w:val="22"/>
              </w:rPr>
              <w:t xml:space="preserve"> ze dne 4. března 2015</w:t>
            </w:r>
            <w:r w:rsidR="005624FC">
              <w:rPr>
                <w:rFonts w:asciiTheme="minorHAnsi" w:hAnsiTheme="minorHAnsi"/>
                <w:sz w:val="22"/>
                <w:szCs w:val="22"/>
              </w:rPr>
              <w:t>, d</w:t>
            </w:r>
            <w:r w:rsidR="005624FC" w:rsidRPr="005624FC">
              <w:rPr>
                <w:rFonts w:asciiTheme="minorHAnsi" w:hAnsiTheme="minorHAnsi"/>
                <w:sz w:val="22"/>
                <w:szCs w:val="22"/>
              </w:rPr>
              <w:t xml:space="preserve">ne 3. ledna 2018 </w:t>
            </w:r>
            <w:r w:rsidR="008707D7">
              <w:rPr>
                <w:rFonts w:asciiTheme="minorHAnsi" w:hAnsiTheme="minorHAnsi"/>
                <w:sz w:val="22"/>
                <w:szCs w:val="22"/>
              </w:rPr>
              <w:t xml:space="preserve">pak </w:t>
            </w:r>
            <w:r w:rsidR="005624FC" w:rsidRPr="005624FC">
              <w:rPr>
                <w:rFonts w:asciiTheme="minorHAnsi" w:hAnsiTheme="minorHAnsi"/>
                <w:sz w:val="22"/>
                <w:szCs w:val="22"/>
              </w:rPr>
              <w:t>byla vládou ČR schválena</w:t>
            </w:r>
            <w:r w:rsidR="009C13CF" w:rsidRPr="005624FC">
              <w:rPr>
                <w:rFonts w:asciiTheme="minorHAnsi" w:hAnsiTheme="minorHAnsi"/>
                <w:sz w:val="22"/>
                <w:szCs w:val="22"/>
              </w:rPr>
              <w:t xml:space="preserve"> Zpráva o</w:t>
            </w:r>
            <w:r w:rsidR="00090AA7" w:rsidRPr="005624FC">
              <w:rPr>
                <w:rFonts w:asciiTheme="minorHAnsi" w:hAnsiTheme="minorHAnsi"/>
                <w:sz w:val="22"/>
                <w:szCs w:val="22"/>
              </w:rPr>
              <w:t> </w:t>
            </w:r>
            <w:r w:rsidR="009C13CF" w:rsidRPr="005624FC">
              <w:rPr>
                <w:rFonts w:asciiTheme="minorHAnsi" w:hAnsiTheme="minorHAnsi"/>
                <w:sz w:val="22"/>
                <w:szCs w:val="22"/>
              </w:rPr>
              <w:t xml:space="preserve">průběžném vyhodnocení plnění NAP SG a </w:t>
            </w:r>
            <w:r w:rsidR="005624FC">
              <w:rPr>
                <w:rFonts w:asciiTheme="minorHAnsi" w:hAnsiTheme="minorHAnsi"/>
                <w:sz w:val="22"/>
                <w:szCs w:val="22"/>
              </w:rPr>
              <w:t xml:space="preserve">dále bude </w:t>
            </w:r>
            <w:r w:rsidR="009C13CF" w:rsidRPr="005624FC">
              <w:rPr>
                <w:rFonts w:asciiTheme="minorHAnsi" w:hAnsiTheme="minorHAnsi"/>
                <w:sz w:val="22"/>
                <w:szCs w:val="22"/>
              </w:rPr>
              <w:t>d</w:t>
            </w:r>
            <w:r w:rsidR="00090AA7" w:rsidRPr="005624FC">
              <w:rPr>
                <w:rFonts w:asciiTheme="minorHAnsi" w:hAnsiTheme="minorHAnsi"/>
                <w:sz w:val="22"/>
                <w:szCs w:val="22"/>
              </w:rPr>
              <w:t>o 31. prosince 2019</w:t>
            </w:r>
            <w:r w:rsidR="005624FC" w:rsidRPr="005624FC">
              <w:rPr>
                <w:rFonts w:asciiTheme="minorHAnsi" w:hAnsiTheme="minorHAnsi"/>
                <w:sz w:val="22"/>
                <w:szCs w:val="22"/>
              </w:rPr>
              <w:t xml:space="preserve"> </w:t>
            </w:r>
            <w:r w:rsidR="009C13CF" w:rsidRPr="005624FC">
              <w:rPr>
                <w:rFonts w:asciiTheme="minorHAnsi" w:hAnsiTheme="minorHAnsi"/>
                <w:sz w:val="22"/>
                <w:szCs w:val="22"/>
              </w:rPr>
              <w:t>předložen návrh aktualizace NAP SG</w:t>
            </w:r>
            <w:r w:rsidR="00090AA7" w:rsidRPr="005624FC">
              <w:rPr>
                <w:rFonts w:asciiTheme="minorHAnsi" w:hAnsiTheme="minorHAnsi"/>
                <w:sz w:val="22"/>
                <w:szCs w:val="22"/>
              </w:rPr>
              <w:t>.</w:t>
            </w:r>
          </w:p>
          <w:p w14:paraId="5559AFB7" w14:textId="23467C4F" w:rsidR="00BA6540" w:rsidRPr="009C13CF" w:rsidRDefault="00ED5B2D" w:rsidP="00B1114F">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ED5B2D">
              <w:rPr>
                <w:rFonts w:asciiTheme="minorHAnsi" w:hAnsiTheme="minorHAnsi"/>
                <w:sz w:val="22"/>
                <w:szCs w:val="22"/>
              </w:rPr>
              <w:t xml:space="preserve">Pro zajištění úspěšné realizace NAP SG byl Ministerstvem průmyslu a obchodu ustaven Koordinační výbor, složený z vrcholných představitelů organizací, jimž NAP SG ukládá odpovědnost za plnění opatření. Koordinační výbor se schází jednou za tři měsíce, kontroluje postup činností a harmonogramu a může přijímat rozhodnutí o patřičných změnách zadání nebo harmonogramu. Expertní týmy pracující na jednotlivých opatřeních reportují Podpůrné skupině, která se schází jednou za měsíc a připravuje podklady pro jednání Koordinačního výboru. Podpůrná skupina je úrovní operativního řízení NAP SG. Pro sdílení dat bylo vytvořeno na MPO datové úložiště. MPO </w:t>
            </w:r>
            <w:r w:rsidR="009C13CF">
              <w:rPr>
                <w:rFonts w:asciiTheme="minorHAnsi" w:hAnsiTheme="minorHAnsi"/>
                <w:sz w:val="22"/>
                <w:szCs w:val="22"/>
              </w:rPr>
              <w:t xml:space="preserve">aktuálně </w:t>
            </w:r>
            <w:r w:rsidRPr="00ED5B2D">
              <w:rPr>
                <w:rFonts w:asciiTheme="minorHAnsi" w:hAnsiTheme="minorHAnsi"/>
                <w:sz w:val="22"/>
                <w:szCs w:val="22"/>
              </w:rPr>
              <w:t>pořádá odborné workshopy k</w:t>
            </w:r>
            <w:r w:rsidR="009C13CF">
              <w:rPr>
                <w:rFonts w:asciiTheme="minorHAnsi" w:hAnsiTheme="minorHAnsi"/>
                <w:sz w:val="22"/>
                <w:szCs w:val="22"/>
              </w:rPr>
              <w:t> </w:t>
            </w:r>
            <w:r w:rsidRPr="00ED5B2D">
              <w:rPr>
                <w:rFonts w:asciiTheme="minorHAnsi" w:hAnsiTheme="minorHAnsi"/>
                <w:sz w:val="22"/>
                <w:szCs w:val="22"/>
              </w:rPr>
              <w:t>NAP SG</w:t>
            </w:r>
            <w:r>
              <w:rPr>
                <w:rFonts w:asciiTheme="minorHAnsi" w:hAnsiTheme="minorHAnsi"/>
                <w:sz w:val="22"/>
                <w:szCs w:val="22"/>
              </w:rPr>
              <w:t>, na nichž</w:t>
            </w:r>
            <w:r w:rsidRPr="00ED5B2D">
              <w:rPr>
                <w:rFonts w:asciiTheme="minorHAnsi" w:hAnsiTheme="minorHAnsi"/>
                <w:sz w:val="22"/>
                <w:szCs w:val="22"/>
              </w:rPr>
              <w:t xml:space="preserve"> </w:t>
            </w:r>
            <w:r>
              <w:rPr>
                <w:rFonts w:asciiTheme="minorHAnsi" w:hAnsiTheme="minorHAnsi"/>
                <w:sz w:val="22"/>
                <w:szCs w:val="22"/>
              </w:rPr>
              <w:t>p</w:t>
            </w:r>
            <w:r w:rsidRPr="00ED5B2D">
              <w:rPr>
                <w:rFonts w:asciiTheme="minorHAnsi" w:hAnsiTheme="minorHAnsi"/>
                <w:sz w:val="22"/>
                <w:szCs w:val="22"/>
              </w:rPr>
              <w:t>robíhá diskuse s odbornou veřejností s</w:t>
            </w:r>
            <w:r>
              <w:rPr>
                <w:rFonts w:asciiTheme="minorHAnsi" w:hAnsiTheme="minorHAnsi"/>
                <w:sz w:val="22"/>
                <w:szCs w:val="22"/>
              </w:rPr>
              <w:t> </w:t>
            </w:r>
            <w:r w:rsidRPr="00ED5B2D">
              <w:rPr>
                <w:rFonts w:asciiTheme="minorHAnsi" w:hAnsiTheme="minorHAnsi"/>
                <w:sz w:val="22"/>
                <w:szCs w:val="22"/>
              </w:rPr>
              <w:t>cílem zapojit externí subjekty do naplňování NAP SG.</w:t>
            </w:r>
          </w:p>
        </w:tc>
      </w:tr>
    </w:tbl>
    <w:p w14:paraId="3F655D52" w14:textId="77777777" w:rsidR="00BA6540" w:rsidRDefault="00BA6540">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710291" w:rsidRPr="006B443D" w14:paraId="27D50F0A" w14:textId="77777777" w:rsidTr="00710291">
        <w:tc>
          <w:tcPr>
            <w:tcW w:w="833" w:type="pct"/>
            <w:shd w:val="clear" w:color="auto" w:fill="DBE5F1" w:themeFill="accent1" w:themeFillTint="33"/>
            <w:vAlign w:val="center"/>
          </w:tcPr>
          <w:p w14:paraId="2EB9F03A" w14:textId="77777777" w:rsidR="00710291" w:rsidRPr="006B443D" w:rsidRDefault="00710291" w:rsidP="002C5FC9">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2E41A7F4" w14:textId="77777777" w:rsidR="00710291" w:rsidRPr="006B443D" w:rsidRDefault="001F6691" w:rsidP="002C5FC9">
            <w:pPr>
              <w:keepNext/>
              <w:spacing w:before="120" w:after="120"/>
              <w:jc w:val="both"/>
              <w:rPr>
                <w:rFonts w:asciiTheme="minorHAnsi" w:hAnsiTheme="minorHAnsi"/>
                <w:b/>
                <w:sz w:val="22"/>
                <w:szCs w:val="22"/>
              </w:rPr>
            </w:pPr>
            <w:r w:rsidRPr="001F6691">
              <w:rPr>
                <w:rFonts w:asciiTheme="minorHAnsi" w:hAnsiTheme="minorHAnsi"/>
                <w:b/>
                <w:sz w:val="22"/>
                <w:szCs w:val="22"/>
              </w:rPr>
              <w:t>Zpracovat Národní akční plán energetických úspor do roku 2020</w:t>
            </w:r>
          </w:p>
        </w:tc>
      </w:tr>
      <w:tr w:rsidR="00710291" w:rsidRPr="006B443D" w14:paraId="72DCCD90" w14:textId="77777777" w:rsidTr="00710291">
        <w:tc>
          <w:tcPr>
            <w:tcW w:w="833" w:type="pct"/>
            <w:vAlign w:val="center"/>
          </w:tcPr>
          <w:p w14:paraId="33AEAC7B"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4F1BA6DA" w14:textId="77777777" w:rsidR="00710291" w:rsidRPr="006B443D" w:rsidRDefault="001F6691" w:rsidP="001F6691">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1F6691">
              <w:rPr>
                <w:rFonts w:asciiTheme="minorHAnsi" w:hAnsiTheme="minorHAnsi"/>
                <w:sz w:val="22"/>
                <w:szCs w:val="22"/>
              </w:rPr>
              <w:t>Analýza dopadů, specifikace nástrojů, časového harmonogramu a zajištění řízení programu a předložení vládě ke schválení v návaznosti na NEEAP, definice konkrétních cílů a specifických programů obecně vycházejících z hlavních cílů pro tuto oblast uvedených v SEK.</w:t>
            </w:r>
          </w:p>
        </w:tc>
      </w:tr>
      <w:tr w:rsidR="00710291" w:rsidRPr="006B443D" w14:paraId="050763D9" w14:textId="77777777" w:rsidTr="00710291">
        <w:tc>
          <w:tcPr>
            <w:tcW w:w="833" w:type="pct"/>
            <w:vAlign w:val="center"/>
          </w:tcPr>
          <w:p w14:paraId="1BC6FB62"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3BA6B1FF" w14:textId="77777777" w:rsidR="00710291" w:rsidRPr="006B443D" w:rsidRDefault="001F6691" w:rsidP="00710291">
            <w:pPr>
              <w:spacing w:before="120" w:after="120"/>
              <w:jc w:val="both"/>
              <w:rPr>
                <w:rFonts w:asciiTheme="minorHAnsi" w:hAnsiTheme="minorHAnsi"/>
                <w:sz w:val="22"/>
                <w:szCs w:val="22"/>
              </w:rPr>
            </w:pPr>
            <w:r w:rsidRPr="001F6691">
              <w:rPr>
                <w:rFonts w:asciiTheme="minorHAnsi" w:hAnsiTheme="minorHAnsi"/>
                <w:sz w:val="22"/>
                <w:szCs w:val="22"/>
              </w:rPr>
              <w:t>MPO, v součinnosti s MŽP</w:t>
            </w:r>
          </w:p>
        </w:tc>
      </w:tr>
      <w:tr w:rsidR="00710291" w:rsidRPr="006B443D" w14:paraId="0C3E0039" w14:textId="77777777" w:rsidTr="00710291">
        <w:tc>
          <w:tcPr>
            <w:tcW w:w="833" w:type="pct"/>
            <w:vAlign w:val="center"/>
          </w:tcPr>
          <w:p w14:paraId="078E3801"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76072C5E" w14:textId="77777777" w:rsidR="00710291" w:rsidRPr="006B443D" w:rsidRDefault="001F6691" w:rsidP="00710291">
            <w:pPr>
              <w:spacing w:before="120" w:after="120"/>
              <w:jc w:val="both"/>
              <w:rPr>
                <w:rFonts w:asciiTheme="minorHAnsi" w:hAnsiTheme="minorHAnsi"/>
                <w:sz w:val="22"/>
                <w:szCs w:val="22"/>
              </w:rPr>
            </w:pPr>
            <w:r w:rsidRPr="001F6691">
              <w:rPr>
                <w:rFonts w:asciiTheme="minorHAnsi" w:hAnsiTheme="minorHAnsi"/>
                <w:sz w:val="22"/>
                <w:szCs w:val="22"/>
              </w:rPr>
              <w:t>do 31. 12. 2014</w:t>
            </w:r>
          </w:p>
        </w:tc>
      </w:tr>
      <w:tr w:rsidR="00710291" w:rsidRPr="006B443D" w14:paraId="31718235" w14:textId="77777777" w:rsidTr="00710291">
        <w:tc>
          <w:tcPr>
            <w:tcW w:w="833" w:type="pct"/>
            <w:vAlign w:val="center"/>
          </w:tcPr>
          <w:p w14:paraId="419B37BD"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7AB62DDD" w14:textId="77777777" w:rsidR="001F6691" w:rsidRPr="001F6691" w:rsidRDefault="001F6691" w:rsidP="001F6691">
            <w:pPr>
              <w:overflowPunct w:val="0"/>
              <w:autoSpaceDE w:val="0"/>
              <w:autoSpaceDN w:val="0"/>
              <w:adjustRightInd w:val="0"/>
              <w:spacing w:before="120" w:after="120"/>
              <w:jc w:val="both"/>
              <w:textAlignment w:val="baseline"/>
              <w:rPr>
                <w:rFonts w:asciiTheme="minorHAnsi" w:hAnsiTheme="minorHAnsi"/>
                <w:b/>
                <w:sz w:val="22"/>
                <w:szCs w:val="22"/>
              </w:rPr>
            </w:pPr>
            <w:r w:rsidRPr="001F6691">
              <w:rPr>
                <w:rFonts w:asciiTheme="minorHAnsi" w:hAnsiTheme="minorHAnsi"/>
                <w:b/>
                <w:sz w:val="22"/>
                <w:szCs w:val="22"/>
              </w:rPr>
              <w:t>Splněno</w:t>
            </w:r>
          </w:p>
          <w:p w14:paraId="3A0A802E" w14:textId="5A2007C3" w:rsidR="001F6691" w:rsidRPr="001F6691" w:rsidRDefault="001F6691" w:rsidP="00684275">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1F6691">
              <w:rPr>
                <w:rFonts w:asciiTheme="minorHAnsi" w:hAnsiTheme="minorHAnsi"/>
                <w:sz w:val="22"/>
                <w:szCs w:val="22"/>
              </w:rPr>
              <w:t>NAP EE</w:t>
            </w:r>
            <w:r w:rsidR="00684275">
              <w:rPr>
                <w:rFonts w:asciiTheme="minorHAnsi" w:hAnsiTheme="minorHAnsi"/>
                <w:sz w:val="22"/>
                <w:szCs w:val="22"/>
              </w:rPr>
              <w:t>, který byl</w:t>
            </w:r>
            <w:r w:rsidR="00684275" w:rsidRPr="00684275">
              <w:rPr>
                <w:rFonts w:asciiTheme="minorHAnsi" w:hAnsiTheme="minorHAnsi"/>
                <w:sz w:val="22"/>
                <w:szCs w:val="22"/>
              </w:rPr>
              <w:t xml:space="preserve"> zpracov</w:t>
            </w:r>
            <w:r w:rsidR="00684275">
              <w:rPr>
                <w:rFonts w:asciiTheme="minorHAnsi" w:hAnsiTheme="minorHAnsi"/>
                <w:sz w:val="22"/>
                <w:szCs w:val="22"/>
              </w:rPr>
              <w:t>á</w:t>
            </w:r>
            <w:r w:rsidR="00684275" w:rsidRPr="00684275">
              <w:rPr>
                <w:rFonts w:asciiTheme="minorHAnsi" w:hAnsiTheme="minorHAnsi"/>
                <w:sz w:val="22"/>
                <w:szCs w:val="22"/>
              </w:rPr>
              <w:t>n v souladu s čl. 24. odst. 2 Směrnice Evropského parlamentu a Rady č. 2012/27/EU o energetické účinnosti</w:t>
            </w:r>
            <w:r w:rsidR="00684275">
              <w:rPr>
                <w:rFonts w:asciiTheme="minorHAnsi" w:hAnsiTheme="minorHAnsi"/>
                <w:sz w:val="22"/>
                <w:szCs w:val="22"/>
              </w:rPr>
              <w:t>,</w:t>
            </w:r>
            <w:r w:rsidRPr="001F6691">
              <w:rPr>
                <w:rFonts w:asciiTheme="minorHAnsi" w:hAnsiTheme="minorHAnsi"/>
                <w:sz w:val="22"/>
                <w:szCs w:val="22"/>
              </w:rPr>
              <w:t xml:space="preserve"> byl schválen vládou ČR</w:t>
            </w:r>
            <w:r w:rsidR="008707D7">
              <w:rPr>
                <w:rFonts w:asciiTheme="minorHAnsi" w:hAnsiTheme="minorHAnsi"/>
                <w:sz w:val="22"/>
                <w:szCs w:val="22"/>
              </w:rPr>
              <w:t>,</w:t>
            </w:r>
            <w:r w:rsidR="00EF1345">
              <w:rPr>
                <w:rFonts w:asciiTheme="minorHAnsi" w:hAnsiTheme="minorHAnsi"/>
                <w:sz w:val="22"/>
                <w:szCs w:val="22"/>
              </w:rPr>
              <w:t xml:space="preserve"> usnesením č. 1 085 ze dne 22. prosince 2014</w:t>
            </w:r>
            <w:r w:rsidRPr="001F6691">
              <w:rPr>
                <w:rFonts w:asciiTheme="minorHAnsi" w:hAnsiTheme="minorHAnsi"/>
                <w:sz w:val="22"/>
                <w:szCs w:val="22"/>
              </w:rPr>
              <w:t>.</w:t>
            </w:r>
          </w:p>
          <w:p w14:paraId="3FE43928" w14:textId="19D6A88C" w:rsidR="00710291" w:rsidRPr="00D1501A" w:rsidRDefault="00684275" w:rsidP="00684275">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684275">
              <w:rPr>
                <w:rFonts w:asciiTheme="minorHAnsi" w:hAnsiTheme="minorHAnsi"/>
                <w:sz w:val="22"/>
                <w:szCs w:val="22"/>
              </w:rPr>
              <w:t>S ohledem na potřeby revize dokumentu vyplývající ze změny metodiky pro výpočet závazku nových úspor energie a z rizika neplnění tohoto závazku byly připraveny dvě aktualizace NAP EE</w:t>
            </w:r>
            <w:r>
              <w:rPr>
                <w:rFonts w:asciiTheme="minorHAnsi" w:hAnsiTheme="minorHAnsi"/>
                <w:sz w:val="22"/>
                <w:szCs w:val="22"/>
              </w:rPr>
              <w:t>, které byly</w:t>
            </w:r>
            <w:r w:rsidR="001F6691" w:rsidRPr="001F6691">
              <w:rPr>
                <w:rFonts w:asciiTheme="minorHAnsi" w:hAnsiTheme="minorHAnsi"/>
                <w:sz w:val="22"/>
                <w:szCs w:val="22"/>
              </w:rPr>
              <w:t xml:space="preserve"> schválen</w:t>
            </w:r>
            <w:r>
              <w:rPr>
                <w:rFonts w:asciiTheme="minorHAnsi" w:hAnsiTheme="minorHAnsi"/>
                <w:sz w:val="22"/>
                <w:szCs w:val="22"/>
              </w:rPr>
              <w:t>y</w:t>
            </w:r>
            <w:r w:rsidR="001F6691" w:rsidRPr="001F6691">
              <w:rPr>
                <w:rFonts w:asciiTheme="minorHAnsi" w:hAnsiTheme="minorHAnsi"/>
                <w:sz w:val="22"/>
                <w:szCs w:val="22"/>
              </w:rPr>
              <w:t xml:space="preserve"> vládou ČR</w:t>
            </w:r>
            <w:r w:rsidR="008707D7">
              <w:rPr>
                <w:rFonts w:asciiTheme="minorHAnsi" w:hAnsiTheme="minorHAnsi"/>
                <w:sz w:val="22"/>
                <w:szCs w:val="22"/>
              </w:rPr>
              <w:t>,</w:t>
            </w:r>
            <w:r w:rsidR="001F6691" w:rsidRPr="001F6691">
              <w:rPr>
                <w:rFonts w:asciiTheme="minorHAnsi" w:hAnsiTheme="minorHAnsi"/>
                <w:sz w:val="22"/>
                <w:szCs w:val="22"/>
              </w:rPr>
              <w:t xml:space="preserve"> </w:t>
            </w:r>
            <w:r w:rsidR="00EF1345" w:rsidRPr="001F6691">
              <w:rPr>
                <w:rFonts w:asciiTheme="minorHAnsi" w:hAnsiTheme="minorHAnsi"/>
                <w:sz w:val="22"/>
                <w:szCs w:val="22"/>
              </w:rPr>
              <w:t>usnesením č.</w:t>
            </w:r>
            <w:r>
              <w:rPr>
                <w:rFonts w:asciiTheme="minorHAnsi" w:hAnsiTheme="minorHAnsi"/>
                <w:sz w:val="22"/>
                <w:szCs w:val="22"/>
              </w:rPr>
              <w:t> </w:t>
            </w:r>
            <w:r w:rsidR="00EF1345" w:rsidRPr="001F6691">
              <w:rPr>
                <w:rFonts w:asciiTheme="minorHAnsi" w:hAnsiTheme="minorHAnsi"/>
                <w:sz w:val="22"/>
                <w:szCs w:val="22"/>
              </w:rPr>
              <w:t>215</w:t>
            </w:r>
            <w:r w:rsidR="00EF1345">
              <w:rPr>
                <w:rFonts w:asciiTheme="minorHAnsi" w:hAnsiTheme="minorHAnsi"/>
                <w:sz w:val="22"/>
                <w:szCs w:val="22"/>
              </w:rPr>
              <w:t xml:space="preserve"> ze </w:t>
            </w:r>
            <w:r w:rsidR="001F6691" w:rsidRPr="001F6691">
              <w:rPr>
                <w:rFonts w:asciiTheme="minorHAnsi" w:hAnsiTheme="minorHAnsi"/>
                <w:sz w:val="22"/>
                <w:szCs w:val="22"/>
              </w:rPr>
              <w:t>dne 16. března 2016</w:t>
            </w:r>
            <w:r>
              <w:rPr>
                <w:rFonts w:asciiTheme="minorHAnsi" w:hAnsiTheme="minorHAnsi"/>
                <w:sz w:val="22"/>
                <w:szCs w:val="22"/>
              </w:rPr>
              <w:t xml:space="preserve"> a</w:t>
            </w:r>
            <w:r w:rsidRPr="00CC468F">
              <w:rPr>
                <w:rFonts w:asciiTheme="minorHAnsi" w:hAnsiTheme="minorHAnsi"/>
                <w:sz w:val="22"/>
                <w:szCs w:val="22"/>
              </w:rPr>
              <w:t xml:space="preserve"> usnesením č. 373 ze dne 15. května 2017</w:t>
            </w:r>
            <w:r w:rsidR="001F6691" w:rsidRPr="001F6691">
              <w:rPr>
                <w:rFonts w:asciiTheme="minorHAnsi" w:hAnsiTheme="minorHAnsi"/>
                <w:sz w:val="22"/>
                <w:szCs w:val="22"/>
              </w:rPr>
              <w:t>.</w:t>
            </w:r>
          </w:p>
        </w:tc>
      </w:tr>
    </w:tbl>
    <w:p w14:paraId="6A9CFA73" w14:textId="77777777" w:rsidR="00710291" w:rsidRDefault="00710291">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710291" w:rsidRPr="006B443D" w14:paraId="15AC9847" w14:textId="77777777" w:rsidTr="00710291">
        <w:tc>
          <w:tcPr>
            <w:tcW w:w="833" w:type="pct"/>
            <w:shd w:val="clear" w:color="auto" w:fill="DBE5F1" w:themeFill="accent1" w:themeFillTint="33"/>
            <w:vAlign w:val="center"/>
          </w:tcPr>
          <w:p w14:paraId="23410DC2" w14:textId="77777777" w:rsidR="00710291" w:rsidRPr="006B443D" w:rsidRDefault="00710291" w:rsidP="00A12E55">
            <w:pPr>
              <w:keepNext/>
              <w:jc w:val="center"/>
              <w:rPr>
                <w:rFonts w:asciiTheme="minorHAnsi" w:hAnsiTheme="minorHAnsi"/>
                <w:b/>
                <w:sz w:val="22"/>
                <w:szCs w:val="22"/>
              </w:rPr>
            </w:pPr>
            <w:r w:rsidRPr="006B443D">
              <w:rPr>
                <w:rFonts w:asciiTheme="minorHAnsi" w:hAnsiTheme="minorHAnsi"/>
                <w:b/>
                <w:sz w:val="22"/>
                <w:szCs w:val="22"/>
              </w:rPr>
              <w:lastRenderedPageBreak/>
              <w:t>Nástroj</w:t>
            </w:r>
          </w:p>
        </w:tc>
        <w:tc>
          <w:tcPr>
            <w:tcW w:w="4167" w:type="pct"/>
            <w:shd w:val="clear" w:color="auto" w:fill="DBE5F1" w:themeFill="accent1" w:themeFillTint="33"/>
            <w:vAlign w:val="center"/>
          </w:tcPr>
          <w:p w14:paraId="11B9883F" w14:textId="77777777" w:rsidR="00710291" w:rsidRPr="006B443D" w:rsidRDefault="001F6691" w:rsidP="00A12E55">
            <w:pPr>
              <w:keepNext/>
              <w:spacing w:before="120" w:after="120"/>
              <w:jc w:val="both"/>
              <w:rPr>
                <w:rFonts w:asciiTheme="minorHAnsi" w:hAnsiTheme="minorHAnsi"/>
                <w:b/>
                <w:sz w:val="22"/>
                <w:szCs w:val="22"/>
              </w:rPr>
            </w:pPr>
            <w:r w:rsidRPr="001F6691">
              <w:rPr>
                <w:rFonts w:asciiTheme="minorHAnsi" w:hAnsiTheme="minorHAnsi"/>
                <w:b/>
                <w:sz w:val="22"/>
                <w:szCs w:val="22"/>
              </w:rPr>
              <w:t>Zpracovat Národní akční plán čisté mobility (plyn, elektřina)</w:t>
            </w:r>
          </w:p>
        </w:tc>
      </w:tr>
      <w:tr w:rsidR="00710291" w:rsidRPr="006B443D" w14:paraId="294171A8" w14:textId="77777777" w:rsidTr="00710291">
        <w:tc>
          <w:tcPr>
            <w:tcW w:w="833" w:type="pct"/>
            <w:vAlign w:val="center"/>
          </w:tcPr>
          <w:p w14:paraId="195AA8E6" w14:textId="77777777" w:rsidR="00710291" w:rsidRPr="006B443D" w:rsidRDefault="00710291" w:rsidP="00A12E55">
            <w:pPr>
              <w:keepNext/>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460E2F82" w14:textId="77777777" w:rsidR="00710291" w:rsidRPr="006B443D" w:rsidRDefault="001F6691" w:rsidP="00A12E55">
            <w:pPr>
              <w:pStyle w:val="Odstavecseseznamem"/>
              <w:keepNext/>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1F6691">
              <w:rPr>
                <w:rFonts w:asciiTheme="minorHAnsi" w:hAnsiTheme="minorHAnsi"/>
                <w:sz w:val="22"/>
                <w:szCs w:val="22"/>
              </w:rPr>
              <w:t>Analýza dopadů, specifikace nástrojů, časového harmonogramu a zajištění řízení programu a předložení vládě ke schválení.</w:t>
            </w:r>
          </w:p>
        </w:tc>
      </w:tr>
      <w:tr w:rsidR="00710291" w:rsidRPr="006B443D" w14:paraId="75ECA5E2" w14:textId="77777777" w:rsidTr="00710291">
        <w:tc>
          <w:tcPr>
            <w:tcW w:w="833" w:type="pct"/>
            <w:vAlign w:val="center"/>
          </w:tcPr>
          <w:p w14:paraId="4EB2154B"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20E7C13B" w14:textId="77777777" w:rsidR="00710291" w:rsidRPr="006B443D" w:rsidRDefault="001F6691" w:rsidP="00710291">
            <w:pPr>
              <w:spacing w:before="120" w:after="120"/>
              <w:jc w:val="both"/>
              <w:rPr>
                <w:rFonts w:asciiTheme="minorHAnsi" w:hAnsiTheme="minorHAnsi"/>
                <w:sz w:val="22"/>
                <w:szCs w:val="22"/>
              </w:rPr>
            </w:pPr>
            <w:r w:rsidRPr="001F6691">
              <w:rPr>
                <w:rFonts w:asciiTheme="minorHAnsi" w:hAnsiTheme="minorHAnsi"/>
                <w:sz w:val="22"/>
                <w:szCs w:val="22"/>
              </w:rPr>
              <w:t>MPO, v součinnosti s MD a MŽP a dalšími zainteresovanými subjekty</w:t>
            </w:r>
          </w:p>
        </w:tc>
      </w:tr>
      <w:tr w:rsidR="00710291" w:rsidRPr="006B443D" w14:paraId="7EFBF58B" w14:textId="77777777" w:rsidTr="00710291">
        <w:tc>
          <w:tcPr>
            <w:tcW w:w="833" w:type="pct"/>
            <w:vAlign w:val="center"/>
          </w:tcPr>
          <w:p w14:paraId="12A4CAD0"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57053CD7" w14:textId="77777777" w:rsidR="00710291" w:rsidRPr="006B443D" w:rsidRDefault="001F6691" w:rsidP="00710291">
            <w:pPr>
              <w:spacing w:before="120" w:after="120"/>
              <w:jc w:val="both"/>
              <w:rPr>
                <w:rFonts w:asciiTheme="minorHAnsi" w:hAnsiTheme="minorHAnsi"/>
                <w:sz w:val="22"/>
                <w:szCs w:val="22"/>
              </w:rPr>
            </w:pPr>
            <w:r w:rsidRPr="001F6691">
              <w:rPr>
                <w:rFonts w:asciiTheme="minorHAnsi" w:hAnsiTheme="minorHAnsi"/>
                <w:sz w:val="22"/>
                <w:szCs w:val="22"/>
              </w:rPr>
              <w:t>do 31. 12. 2015</w:t>
            </w:r>
          </w:p>
        </w:tc>
      </w:tr>
      <w:tr w:rsidR="00710291" w:rsidRPr="006B443D" w14:paraId="1FB04A65" w14:textId="77777777" w:rsidTr="00710291">
        <w:tc>
          <w:tcPr>
            <w:tcW w:w="833" w:type="pct"/>
            <w:vAlign w:val="center"/>
          </w:tcPr>
          <w:p w14:paraId="2307D5DA"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7EA3C583" w14:textId="77777777" w:rsidR="001F6691" w:rsidRPr="001F6691" w:rsidRDefault="001F6691" w:rsidP="001F6691">
            <w:pPr>
              <w:overflowPunct w:val="0"/>
              <w:autoSpaceDE w:val="0"/>
              <w:autoSpaceDN w:val="0"/>
              <w:adjustRightInd w:val="0"/>
              <w:spacing w:before="120" w:after="120"/>
              <w:jc w:val="both"/>
              <w:textAlignment w:val="baseline"/>
              <w:rPr>
                <w:rFonts w:asciiTheme="minorHAnsi" w:hAnsiTheme="minorHAnsi"/>
                <w:b/>
                <w:sz w:val="22"/>
                <w:szCs w:val="22"/>
              </w:rPr>
            </w:pPr>
            <w:r w:rsidRPr="001F6691">
              <w:rPr>
                <w:rFonts w:asciiTheme="minorHAnsi" w:hAnsiTheme="minorHAnsi"/>
                <w:b/>
                <w:sz w:val="22"/>
                <w:szCs w:val="22"/>
              </w:rPr>
              <w:t>Splněno</w:t>
            </w:r>
          </w:p>
          <w:p w14:paraId="069631B8" w14:textId="767F0B68" w:rsidR="00710291" w:rsidRPr="00B20B1E" w:rsidRDefault="001F6691" w:rsidP="00B20B1E">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20B1E">
              <w:rPr>
                <w:rFonts w:asciiTheme="minorHAnsi" w:hAnsiTheme="minorHAnsi"/>
                <w:sz w:val="22"/>
                <w:szCs w:val="22"/>
              </w:rPr>
              <w:t>NAP CM byl schválen vládou ČR</w:t>
            </w:r>
            <w:r w:rsidR="008707D7" w:rsidRPr="00B20B1E">
              <w:rPr>
                <w:rFonts w:asciiTheme="minorHAnsi" w:hAnsiTheme="minorHAnsi"/>
                <w:sz w:val="22"/>
                <w:szCs w:val="22"/>
              </w:rPr>
              <w:t>,</w:t>
            </w:r>
            <w:r w:rsidR="00EF1345" w:rsidRPr="00B20B1E">
              <w:rPr>
                <w:rFonts w:asciiTheme="minorHAnsi" w:hAnsiTheme="minorHAnsi"/>
                <w:sz w:val="22"/>
                <w:szCs w:val="22"/>
              </w:rPr>
              <w:t xml:space="preserve"> usnesením č. 941</w:t>
            </w:r>
            <w:r w:rsidRPr="00B20B1E">
              <w:rPr>
                <w:rFonts w:asciiTheme="minorHAnsi" w:hAnsiTheme="minorHAnsi"/>
                <w:sz w:val="22"/>
                <w:szCs w:val="22"/>
              </w:rPr>
              <w:t xml:space="preserve"> </w:t>
            </w:r>
            <w:r w:rsidR="009D1D20" w:rsidRPr="00B20B1E">
              <w:rPr>
                <w:rFonts w:asciiTheme="minorHAnsi" w:hAnsiTheme="minorHAnsi"/>
                <w:sz w:val="22"/>
                <w:szCs w:val="22"/>
              </w:rPr>
              <w:t xml:space="preserve">ze </w:t>
            </w:r>
            <w:r w:rsidRPr="00B20B1E">
              <w:rPr>
                <w:rFonts w:asciiTheme="minorHAnsi" w:hAnsiTheme="minorHAnsi"/>
                <w:sz w:val="22"/>
                <w:szCs w:val="22"/>
              </w:rPr>
              <w:t>dne 20. listopadu 2015</w:t>
            </w:r>
            <w:r w:rsidR="00A56663" w:rsidRPr="00B20B1E">
              <w:rPr>
                <w:rFonts w:asciiTheme="minorHAnsi" w:hAnsiTheme="minorHAnsi"/>
                <w:sz w:val="22"/>
                <w:szCs w:val="22"/>
              </w:rPr>
              <w:t>, jež ukládá ministru průmyslu a obchodu ve spolupráci s ministry dopravy, životního prostředí a dalšími členy vlády odpovědnými za realizaci jednotlivých dílčích opatření NAP CM předkládat vládě k 30. červnu každého roku informaci o plnění NAP CM za předchozí rok</w:t>
            </w:r>
            <w:r w:rsidR="002051EC" w:rsidRPr="00B20B1E">
              <w:rPr>
                <w:rFonts w:asciiTheme="minorHAnsi" w:hAnsiTheme="minorHAnsi"/>
                <w:sz w:val="22"/>
                <w:szCs w:val="22"/>
              </w:rPr>
              <w:t>. Usnesení také uložilo</w:t>
            </w:r>
            <w:r w:rsidR="00A56663" w:rsidRPr="00B20B1E">
              <w:rPr>
                <w:rFonts w:asciiTheme="minorHAnsi" w:hAnsiTheme="minorHAnsi"/>
                <w:sz w:val="22"/>
                <w:szCs w:val="22"/>
              </w:rPr>
              <w:t xml:space="preserve"> do 30. června 2018 předložit</w:t>
            </w:r>
            <w:r w:rsidR="002051EC" w:rsidRPr="00B20B1E">
              <w:rPr>
                <w:rFonts w:asciiTheme="minorHAnsi" w:hAnsiTheme="minorHAnsi"/>
                <w:sz w:val="22"/>
                <w:szCs w:val="22"/>
              </w:rPr>
              <w:t xml:space="preserve"> vládě</w:t>
            </w:r>
            <w:r w:rsidR="00A56663" w:rsidRPr="00B20B1E">
              <w:rPr>
                <w:rFonts w:asciiTheme="minorHAnsi" w:hAnsiTheme="minorHAnsi"/>
                <w:sz w:val="22"/>
                <w:szCs w:val="22"/>
              </w:rPr>
              <w:t xml:space="preserve"> aktualizaci</w:t>
            </w:r>
            <w:r w:rsidR="002051EC" w:rsidRPr="00B20B1E">
              <w:rPr>
                <w:rFonts w:asciiTheme="minorHAnsi" w:hAnsiTheme="minorHAnsi"/>
                <w:sz w:val="22"/>
                <w:szCs w:val="22"/>
              </w:rPr>
              <w:t xml:space="preserve"> NAP CM, nicméně tento termín byl na základě požadavku ostatních resortů Hospodářské komory ČR a Sdružení automobilového průmyslu na zapracování unijních legislativních a nelegislativních dokumentů týkajících se podpory </w:t>
            </w:r>
            <w:proofErr w:type="spellStart"/>
            <w:r w:rsidR="002051EC" w:rsidRPr="00B20B1E">
              <w:rPr>
                <w:rFonts w:asciiTheme="minorHAnsi" w:hAnsiTheme="minorHAnsi"/>
                <w:sz w:val="22"/>
                <w:szCs w:val="22"/>
              </w:rPr>
              <w:t>nízkoemisní</w:t>
            </w:r>
            <w:proofErr w:type="spellEnd"/>
            <w:r w:rsidR="002051EC" w:rsidRPr="00B20B1E">
              <w:rPr>
                <w:rFonts w:asciiTheme="minorHAnsi" w:hAnsiTheme="minorHAnsi"/>
                <w:sz w:val="22"/>
                <w:szCs w:val="22"/>
              </w:rPr>
              <w:t xml:space="preserve"> dopravy</w:t>
            </w:r>
            <w:r w:rsidR="00B20B1E" w:rsidRPr="00B20B1E">
              <w:rPr>
                <w:rFonts w:asciiTheme="minorHAnsi" w:hAnsiTheme="minorHAnsi"/>
                <w:sz w:val="22"/>
                <w:szCs w:val="22"/>
              </w:rPr>
              <w:t xml:space="preserve"> a také v návaznosti </w:t>
            </w:r>
            <w:r w:rsidR="002051EC" w:rsidRPr="00B20B1E">
              <w:rPr>
                <w:rFonts w:asciiTheme="minorHAnsi" w:hAnsiTheme="minorHAnsi"/>
                <w:sz w:val="22"/>
                <w:szCs w:val="22"/>
              </w:rPr>
              <w:t>na tvorbu</w:t>
            </w:r>
            <w:r w:rsidR="00B20B1E" w:rsidRPr="00B20B1E">
              <w:rPr>
                <w:rFonts w:asciiTheme="minorHAnsi" w:hAnsiTheme="minorHAnsi"/>
                <w:sz w:val="22"/>
                <w:szCs w:val="22"/>
              </w:rPr>
              <w:t xml:space="preserve"> tzv. N</w:t>
            </w:r>
            <w:r w:rsidR="002051EC" w:rsidRPr="00B20B1E">
              <w:rPr>
                <w:rFonts w:asciiTheme="minorHAnsi" w:hAnsiTheme="minorHAnsi"/>
                <w:sz w:val="22"/>
                <w:szCs w:val="22"/>
              </w:rPr>
              <w:t xml:space="preserve">árodního </w:t>
            </w:r>
            <w:r w:rsidR="00B20B1E" w:rsidRPr="00B20B1E">
              <w:rPr>
                <w:rFonts w:asciiTheme="minorHAnsi" w:hAnsiTheme="minorHAnsi"/>
                <w:sz w:val="22"/>
                <w:szCs w:val="22"/>
              </w:rPr>
              <w:t xml:space="preserve">integrovaného </w:t>
            </w:r>
            <w:r w:rsidR="002051EC" w:rsidRPr="00B20B1E">
              <w:rPr>
                <w:rFonts w:asciiTheme="minorHAnsi" w:hAnsiTheme="minorHAnsi"/>
                <w:sz w:val="22"/>
                <w:szCs w:val="22"/>
              </w:rPr>
              <w:t>energeticko-klimatického plánu</w:t>
            </w:r>
            <w:r w:rsidR="00B20B1E" w:rsidRPr="00B20B1E">
              <w:rPr>
                <w:rFonts w:asciiTheme="minorHAnsi" w:hAnsiTheme="minorHAnsi"/>
                <w:sz w:val="22"/>
                <w:szCs w:val="22"/>
              </w:rPr>
              <w:t xml:space="preserve"> posunut na konec roku 2019</w:t>
            </w:r>
            <w:r w:rsidRPr="00B20B1E">
              <w:rPr>
                <w:rFonts w:asciiTheme="minorHAnsi" w:hAnsiTheme="minorHAnsi"/>
                <w:sz w:val="22"/>
                <w:szCs w:val="22"/>
              </w:rPr>
              <w:t>.</w:t>
            </w:r>
          </w:p>
          <w:p w14:paraId="6BDD3111" w14:textId="016A84C6" w:rsidR="00A56663" w:rsidRPr="00D1501A" w:rsidRDefault="00A56663" w:rsidP="00A56663">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A56663">
              <w:rPr>
                <w:rFonts w:asciiTheme="minorHAnsi" w:hAnsiTheme="minorHAnsi"/>
                <w:sz w:val="22"/>
                <w:szCs w:val="22"/>
              </w:rPr>
              <w:t>Pro zajištění úspěšné realizace NAP CM byl Ministerstvem průmyslu a obchodu ustaven Koordinační výbor složený z vrcholných představitelů organizací, jimž NAP CM ukládá odpovědnost za plnění opatření. Koordinační výbor se schází jednou cca za tři měsíce.</w:t>
            </w:r>
          </w:p>
        </w:tc>
      </w:tr>
    </w:tbl>
    <w:p w14:paraId="4922C9DA" w14:textId="3A59B6BB" w:rsidR="00710291" w:rsidRDefault="00710291">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710291" w:rsidRPr="006B443D" w14:paraId="3D875C4B" w14:textId="77777777" w:rsidTr="00710291">
        <w:tc>
          <w:tcPr>
            <w:tcW w:w="833" w:type="pct"/>
            <w:shd w:val="clear" w:color="auto" w:fill="DBE5F1" w:themeFill="accent1" w:themeFillTint="33"/>
            <w:vAlign w:val="center"/>
          </w:tcPr>
          <w:p w14:paraId="56A67CC5" w14:textId="77777777" w:rsidR="00710291" w:rsidRPr="006B443D" w:rsidRDefault="00710291" w:rsidP="002C5FC9">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4C0D83D5" w14:textId="77777777" w:rsidR="00710291" w:rsidRPr="006B443D" w:rsidRDefault="001F6691" w:rsidP="002C5FC9">
            <w:pPr>
              <w:keepNext/>
              <w:spacing w:before="120" w:after="120"/>
              <w:jc w:val="both"/>
              <w:rPr>
                <w:rFonts w:asciiTheme="minorHAnsi" w:hAnsiTheme="minorHAnsi"/>
                <w:b/>
                <w:sz w:val="22"/>
                <w:szCs w:val="22"/>
              </w:rPr>
            </w:pPr>
            <w:r w:rsidRPr="001F6691">
              <w:rPr>
                <w:rFonts w:asciiTheme="minorHAnsi" w:hAnsiTheme="minorHAnsi"/>
                <w:b/>
                <w:sz w:val="22"/>
                <w:szCs w:val="22"/>
              </w:rPr>
              <w:t>Podpořit výzkum a vývoj v oblasti čisté mobility</w:t>
            </w:r>
          </w:p>
        </w:tc>
      </w:tr>
      <w:tr w:rsidR="00710291" w:rsidRPr="006B443D" w14:paraId="6F5218E5" w14:textId="77777777" w:rsidTr="00710291">
        <w:tc>
          <w:tcPr>
            <w:tcW w:w="833" w:type="pct"/>
            <w:vAlign w:val="center"/>
          </w:tcPr>
          <w:p w14:paraId="0CEC81E4"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683FB6BB" w14:textId="77777777" w:rsidR="00710291" w:rsidRPr="006B443D" w:rsidRDefault="001F6691" w:rsidP="001F6691">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1F6691">
              <w:rPr>
                <w:rFonts w:asciiTheme="minorHAnsi" w:hAnsiTheme="minorHAnsi"/>
                <w:sz w:val="22"/>
                <w:szCs w:val="22"/>
              </w:rPr>
              <w:t>Připravit koordinovanou strategii na podporu výzkumu a vývoje v této oblasti.</w:t>
            </w:r>
          </w:p>
        </w:tc>
      </w:tr>
      <w:tr w:rsidR="00710291" w:rsidRPr="006B443D" w14:paraId="2D2549DF" w14:textId="77777777" w:rsidTr="00710291">
        <w:tc>
          <w:tcPr>
            <w:tcW w:w="833" w:type="pct"/>
            <w:vAlign w:val="center"/>
          </w:tcPr>
          <w:p w14:paraId="3B91F7C9"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69DBB7C1" w14:textId="77777777" w:rsidR="00710291" w:rsidRPr="006B443D" w:rsidRDefault="001F6691" w:rsidP="00710291">
            <w:pPr>
              <w:spacing w:before="120" w:after="120"/>
              <w:jc w:val="both"/>
              <w:rPr>
                <w:rFonts w:asciiTheme="minorHAnsi" w:hAnsiTheme="minorHAnsi"/>
                <w:sz w:val="22"/>
                <w:szCs w:val="22"/>
              </w:rPr>
            </w:pPr>
            <w:r w:rsidRPr="001F6691">
              <w:rPr>
                <w:rFonts w:asciiTheme="minorHAnsi" w:hAnsiTheme="minorHAnsi"/>
                <w:sz w:val="22"/>
                <w:szCs w:val="22"/>
              </w:rPr>
              <w:t>MPO, MŠMT, v součinnosti s MD, MŽP, TA ČR a dalšími zainteresovanými subjekty</w:t>
            </w:r>
          </w:p>
        </w:tc>
      </w:tr>
      <w:tr w:rsidR="00710291" w:rsidRPr="006B443D" w14:paraId="543B687E" w14:textId="77777777" w:rsidTr="00710291">
        <w:tc>
          <w:tcPr>
            <w:tcW w:w="833" w:type="pct"/>
            <w:vAlign w:val="center"/>
          </w:tcPr>
          <w:p w14:paraId="0A8FB2ED"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45CFE971" w14:textId="77777777" w:rsidR="00710291" w:rsidRPr="006B443D" w:rsidRDefault="001F6691" w:rsidP="00710291">
            <w:pPr>
              <w:spacing w:before="120" w:after="120"/>
              <w:jc w:val="both"/>
              <w:rPr>
                <w:rFonts w:asciiTheme="minorHAnsi" w:hAnsiTheme="minorHAnsi"/>
                <w:sz w:val="22"/>
                <w:szCs w:val="22"/>
              </w:rPr>
            </w:pPr>
            <w:r w:rsidRPr="001F6691">
              <w:rPr>
                <w:rFonts w:asciiTheme="minorHAnsi" w:hAnsiTheme="minorHAnsi"/>
                <w:sz w:val="22"/>
                <w:szCs w:val="22"/>
              </w:rPr>
              <w:t>průběžně (návazně na zpracování Národního akčního plánu čisté mobility)</w:t>
            </w:r>
          </w:p>
        </w:tc>
      </w:tr>
      <w:tr w:rsidR="00710291" w:rsidRPr="006B443D" w14:paraId="5887F88A" w14:textId="77777777" w:rsidTr="00323AE1">
        <w:tc>
          <w:tcPr>
            <w:tcW w:w="833" w:type="pct"/>
            <w:vAlign w:val="center"/>
          </w:tcPr>
          <w:p w14:paraId="06249ED1"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45ED60C3" w14:textId="77777777" w:rsidR="001F6691" w:rsidRPr="008C7C58" w:rsidRDefault="001F6691" w:rsidP="001F6691">
            <w:pPr>
              <w:overflowPunct w:val="0"/>
              <w:autoSpaceDE w:val="0"/>
              <w:autoSpaceDN w:val="0"/>
              <w:adjustRightInd w:val="0"/>
              <w:spacing w:before="120" w:after="120"/>
              <w:jc w:val="both"/>
              <w:textAlignment w:val="baseline"/>
              <w:rPr>
                <w:rFonts w:asciiTheme="minorHAnsi" w:hAnsiTheme="minorHAnsi"/>
                <w:b/>
                <w:sz w:val="22"/>
                <w:szCs w:val="22"/>
              </w:rPr>
            </w:pPr>
            <w:r w:rsidRPr="008C7C58">
              <w:rPr>
                <w:rFonts w:asciiTheme="minorHAnsi" w:hAnsiTheme="minorHAnsi"/>
                <w:b/>
                <w:sz w:val="22"/>
                <w:szCs w:val="22"/>
              </w:rPr>
              <w:t>Plněno průběžně</w:t>
            </w:r>
          </w:p>
          <w:p w14:paraId="1287F786" w14:textId="7F8C19A6" w:rsidR="008C7C58" w:rsidRPr="008C7C58" w:rsidRDefault="008C7C58" w:rsidP="007A2F31">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Součástí</w:t>
            </w:r>
            <w:r w:rsidRPr="008C7C58">
              <w:rPr>
                <w:rFonts w:asciiTheme="minorHAnsi" w:hAnsiTheme="minorHAnsi"/>
                <w:sz w:val="22"/>
                <w:szCs w:val="22"/>
              </w:rPr>
              <w:t xml:space="preserve"> Akčního plánu o budoucnosti au</w:t>
            </w:r>
            <w:r>
              <w:rPr>
                <w:rFonts w:asciiTheme="minorHAnsi" w:hAnsiTheme="minorHAnsi"/>
                <w:sz w:val="22"/>
                <w:szCs w:val="22"/>
              </w:rPr>
              <w:t>tomobilového průmyslu</w:t>
            </w:r>
            <w:r w:rsidRPr="008C7C58">
              <w:rPr>
                <w:rFonts w:asciiTheme="minorHAnsi" w:hAnsiTheme="minorHAnsi"/>
                <w:sz w:val="22"/>
                <w:szCs w:val="22"/>
              </w:rPr>
              <w:t xml:space="preserve"> připraven</w:t>
            </w:r>
            <w:r>
              <w:rPr>
                <w:rFonts w:asciiTheme="minorHAnsi" w:hAnsiTheme="minorHAnsi"/>
                <w:sz w:val="22"/>
                <w:szCs w:val="22"/>
              </w:rPr>
              <w:t>ého</w:t>
            </w:r>
            <w:r w:rsidRPr="008C7C58">
              <w:rPr>
                <w:rFonts w:asciiTheme="minorHAnsi" w:hAnsiTheme="minorHAnsi"/>
                <w:sz w:val="22"/>
                <w:szCs w:val="22"/>
              </w:rPr>
              <w:t xml:space="preserve"> na základě Memoranda o budoucnosti automobilového průmyslu v</w:t>
            </w:r>
            <w:r>
              <w:rPr>
                <w:rFonts w:asciiTheme="minorHAnsi" w:hAnsiTheme="minorHAnsi"/>
                <w:sz w:val="22"/>
                <w:szCs w:val="22"/>
              </w:rPr>
              <w:t xml:space="preserve"> </w:t>
            </w:r>
            <w:r w:rsidRPr="008C7C58">
              <w:rPr>
                <w:rFonts w:asciiTheme="minorHAnsi" w:hAnsiTheme="minorHAnsi"/>
                <w:sz w:val="22"/>
                <w:szCs w:val="22"/>
              </w:rPr>
              <w:t>Č</w:t>
            </w:r>
            <w:r>
              <w:rPr>
                <w:rFonts w:asciiTheme="minorHAnsi" w:hAnsiTheme="minorHAnsi"/>
                <w:sz w:val="22"/>
                <w:szCs w:val="22"/>
              </w:rPr>
              <w:t>R</w:t>
            </w:r>
            <w:r w:rsidRPr="008C7C58">
              <w:rPr>
                <w:rFonts w:asciiTheme="minorHAnsi" w:hAnsiTheme="minorHAnsi"/>
                <w:sz w:val="22"/>
                <w:szCs w:val="22"/>
              </w:rPr>
              <w:t xml:space="preserve"> je</w:t>
            </w:r>
            <w:r>
              <w:rPr>
                <w:rFonts w:asciiTheme="minorHAnsi" w:hAnsiTheme="minorHAnsi"/>
                <w:sz w:val="22"/>
                <w:szCs w:val="22"/>
              </w:rPr>
              <w:t>,</w:t>
            </w:r>
            <w:r w:rsidRPr="008C7C58">
              <w:rPr>
                <w:rFonts w:asciiTheme="minorHAnsi" w:hAnsiTheme="minorHAnsi"/>
                <w:sz w:val="22"/>
                <w:szCs w:val="22"/>
              </w:rPr>
              <w:t xml:space="preserve"> </w:t>
            </w:r>
            <w:r>
              <w:rPr>
                <w:rFonts w:asciiTheme="minorHAnsi" w:hAnsiTheme="minorHAnsi"/>
                <w:sz w:val="22"/>
                <w:szCs w:val="22"/>
              </w:rPr>
              <w:t xml:space="preserve">mimo jiné, </w:t>
            </w:r>
            <w:r w:rsidRPr="008C7C58">
              <w:rPr>
                <w:rFonts w:asciiTheme="minorHAnsi" w:hAnsiTheme="minorHAnsi"/>
                <w:sz w:val="22"/>
                <w:szCs w:val="22"/>
              </w:rPr>
              <w:t xml:space="preserve">opatření P1 </w:t>
            </w:r>
            <w:r>
              <w:rPr>
                <w:rFonts w:asciiTheme="minorHAnsi" w:hAnsiTheme="minorHAnsi"/>
                <w:sz w:val="22"/>
                <w:szCs w:val="22"/>
              </w:rPr>
              <w:t>„</w:t>
            </w:r>
            <w:r w:rsidRPr="008C7C58">
              <w:rPr>
                <w:rFonts w:asciiTheme="minorHAnsi" w:hAnsiTheme="minorHAnsi"/>
                <w:sz w:val="22"/>
                <w:szCs w:val="22"/>
              </w:rPr>
              <w:t>Zajištění souladu zaměření dotačních programů na výzkum a</w:t>
            </w:r>
            <w:r w:rsidR="00364F30">
              <w:rPr>
                <w:rFonts w:asciiTheme="minorHAnsi" w:hAnsiTheme="minorHAnsi"/>
                <w:sz w:val="22"/>
                <w:szCs w:val="22"/>
              </w:rPr>
              <w:t> </w:t>
            </w:r>
            <w:r w:rsidRPr="008C7C58">
              <w:rPr>
                <w:rFonts w:asciiTheme="minorHAnsi" w:hAnsiTheme="minorHAnsi"/>
                <w:sz w:val="22"/>
                <w:szCs w:val="22"/>
              </w:rPr>
              <w:t>vývoj s potřebami automobilového průmyslu</w:t>
            </w:r>
            <w:r w:rsidR="00364F30">
              <w:rPr>
                <w:rFonts w:asciiTheme="minorHAnsi" w:hAnsiTheme="minorHAnsi"/>
                <w:sz w:val="22"/>
                <w:szCs w:val="22"/>
              </w:rPr>
              <w:t xml:space="preserve">“ směřující k </w:t>
            </w:r>
            <w:r w:rsidRPr="008C7C58">
              <w:rPr>
                <w:rFonts w:asciiTheme="minorHAnsi" w:hAnsiTheme="minorHAnsi"/>
                <w:sz w:val="22"/>
                <w:szCs w:val="22"/>
              </w:rPr>
              <w:t>vytvořen</w:t>
            </w:r>
            <w:r w:rsidR="00364F30">
              <w:rPr>
                <w:rFonts w:asciiTheme="minorHAnsi" w:hAnsiTheme="minorHAnsi"/>
                <w:sz w:val="22"/>
                <w:szCs w:val="22"/>
              </w:rPr>
              <w:t>í</w:t>
            </w:r>
            <w:r w:rsidRPr="008C7C58">
              <w:rPr>
                <w:rFonts w:asciiTheme="minorHAnsi" w:hAnsiTheme="minorHAnsi"/>
                <w:sz w:val="22"/>
                <w:szCs w:val="22"/>
              </w:rPr>
              <w:t xml:space="preserve"> rámc</w:t>
            </w:r>
            <w:r w:rsidR="00364F30">
              <w:rPr>
                <w:rFonts w:asciiTheme="minorHAnsi" w:hAnsiTheme="minorHAnsi"/>
                <w:sz w:val="22"/>
                <w:szCs w:val="22"/>
              </w:rPr>
              <w:t>e</w:t>
            </w:r>
            <w:r w:rsidRPr="008C7C58">
              <w:rPr>
                <w:rFonts w:asciiTheme="minorHAnsi" w:hAnsiTheme="minorHAnsi"/>
                <w:sz w:val="22"/>
                <w:szCs w:val="22"/>
              </w:rPr>
              <w:t xml:space="preserve"> pro systematickou podporu výzkumu a vývoje v oblasti automobilového průmyslu, v</w:t>
            </w:r>
            <w:r w:rsidR="00364F30">
              <w:rPr>
                <w:rFonts w:asciiTheme="minorHAnsi" w:hAnsiTheme="minorHAnsi"/>
                <w:sz w:val="22"/>
                <w:szCs w:val="22"/>
              </w:rPr>
              <w:t> </w:t>
            </w:r>
            <w:r w:rsidRPr="008C7C58">
              <w:rPr>
                <w:rFonts w:asciiTheme="minorHAnsi" w:hAnsiTheme="minorHAnsi"/>
                <w:sz w:val="22"/>
                <w:szCs w:val="22"/>
              </w:rPr>
              <w:t xml:space="preserve">návaznosti na analýzu potřeb rozvoje </w:t>
            </w:r>
            <w:r w:rsidR="00364F30">
              <w:rPr>
                <w:rFonts w:asciiTheme="minorHAnsi" w:hAnsiTheme="minorHAnsi"/>
                <w:sz w:val="22"/>
                <w:szCs w:val="22"/>
              </w:rPr>
              <w:t>vysokých škol</w:t>
            </w:r>
            <w:r w:rsidRPr="008C7C58">
              <w:rPr>
                <w:rFonts w:asciiTheme="minorHAnsi" w:hAnsiTheme="minorHAnsi"/>
                <w:sz w:val="22"/>
                <w:szCs w:val="22"/>
              </w:rPr>
              <w:t xml:space="preserve"> (obory a kompetence) a</w:t>
            </w:r>
            <w:r w:rsidR="00364F30">
              <w:rPr>
                <w:rFonts w:asciiTheme="minorHAnsi" w:hAnsiTheme="minorHAnsi"/>
                <w:sz w:val="22"/>
                <w:szCs w:val="22"/>
              </w:rPr>
              <w:t> </w:t>
            </w:r>
            <w:r w:rsidRPr="008C7C58">
              <w:rPr>
                <w:rFonts w:asciiTheme="minorHAnsi" w:hAnsiTheme="minorHAnsi"/>
                <w:sz w:val="22"/>
                <w:szCs w:val="22"/>
              </w:rPr>
              <w:t>firem v definovaných prioritních oblastech. Následně</w:t>
            </w:r>
            <w:r w:rsidR="00364F30">
              <w:rPr>
                <w:rFonts w:asciiTheme="minorHAnsi" w:hAnsiTheme="minorHAnsi"/>
                <w:sz w:val="22"/>
                <w:szCs w:val="22"/>
              </w:rPr>
              <w:t xml:space="preserve"> by měla být příslušná</w:t>
            </w:r>
            <w:r w:rsidRPr="008C7C58">
              <w:rPr>
                <w:rFonts w:asciiTheme="minorHAnsi" w:hAnsiTheme="minorHAnsi"/>
                <w:sz w:val="22"/>
                <w:szCs w:val="22"/>
              </w:rPr>
              <w:t xml:space="preserve"> témata z oblasti automobilového průmyslu </w:t>
            </w:r>
            <w:r w:rsidR="00364F30">
              <w:rPr>
                <w:rFonts w:asciiTheme="minorHAnsi" w:hAnsiTheme="minorHAnsi"/>
                <w:sz w:val="22"/>
                <w:szCs w:val="22"/>
              </w:rPr>
              <w:t xml:space="preserve">také </w:t>
            </w:r>
            <w:r w:rsidRPr="008C7C58">
              <w:rPr>
                <w:rFonts w:asciiTheme="minorHAnsi" w:hAnsiTheme="minorHAnsi"/>
                <w:sz w:val="22"/>
                <w:szCs w:val="22"/>
              </w:rPr>
              <w:t>zohledněna v připravovaných programech na podporu výzkumu</w:t>
            </w:r>
            <w:r w:rsidR="00FA12CA">
              <w:rPr>
                <w:rFonts w:asciiTheme="minorHAnsi" w:hAnsiTheme="minorHAnsi"/>
                <w:sz w:val="22"/>
                <w:szCs w:val="22"/>
              </w:rPr>
              <w:t xml:space="preserve"> a vývoje</w:t>
            </w:r>
            <w:r w:rsidRPr="008C7C58">
              <w:rPr>
                <w:rFonts w:asciiTheme="minorHAnsi" w:hAnsiTheme="minorHAnsi"/>
                <w:sz w:val="22"/>
                <w:szCs w:val="22"/>
              </w:rPr>
              <w:t>.</w:t>
            </w:r>
          </w:p>
          <w:p w14:paraId="68C4CB8A" w14:textId="5D8914C3" w:rsidR="00710291" w:rsidRPr="00402042" w:rsidRDefault="00FD7871" w:rsidP="00B75FE2">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8C7C58">
              <w:rPr>
                <w:rFonts w:asciiTheme="minorHAnsi" w:hAnsiTheme="minorHAnsi"/>
                <w:sz w:val="22"/>
                <w:szCs w:val="22"/>
              </w:rPr>
              <w:t>Projekty výzkumu a vývoje z oblasti čisté mobility lze podporovat ze stávajících programů MPO (program TRIO</w:t>
            </w:r>
            <w:r w:rsidR="00B75FE2">
              <w:rPr>
                <w:rFonts w:asciiTheme="minorHAnsi" w:hAnsiTheme="minorHAnsi"/>
                <w:sz w:val="22"/>
                <w:szCs w:val="22"/>
              </w:rPr>
              <w:t xml:space="preserve">, kde </w:t>
            </w:r>
            <w:r w:rsidR="00B75FE2" w:rsidRPr="00B75FE2">
              <w:rPr>
                <w:rFonts w:asciiTheme="minorHAnsi" w:hAnsiTheme="minorHAnsi"/>
                <w:sz w:val="22"/>
                <w:szCs w:val="22"/>
              </w:rPr>
              <w:t xml:space="preserve">v soutěži vyhlášené </w:t>
            </w:r>
            <w:r w:rsidR="00B75FE2">
              <w:rPr>
                <w:rFonts w:asciiTheme="minorHAnsi" w:hAnsiTheme="minorHAnsi"/>
                <w:sz w:val="22"/>
                <w:szCs w:val="22"/>
              </w:rPr>
              <w:t xml:space="preserve">dne </w:t>
            </w:r>
            <w:r w:rsidR="00B75FE2" w:rsidRPr="00B75FE2">
              <w:rPr>
                <w:rFonts w:asciiTheme="minorHAnsi" w:hAnsiTheme="minorHAnsi"/>
                <w:sz w:val="22"/>
                <w:szCs w:val="22"/>
              </w:rPr>
              <w:t>3.</w:t>
            </w:r>
            <w:r w:rsidR="00B75FE2">
              <w:rPr>
                <w:rFonts w:asciiTheme="minorHAnsi" w:hAnsiTheme="minorHAnsi"/>
                <w:sz w:val="22"/>
                <w:szCs w:val="22"/>
              </w:rPr>
              <w:t xml:space="preserve"> září</w:t>
            </w:r>
            <w:r w:rsidR="00B75FE2" w:rsidRPr="00B75FE2">
              <w:rPr>
                <w:rFonts w:asciiTheme="minorHAnsi" w:hAnsiTheme="minorHAnsi"/>
                <w:sz w:val="22"/>
                <w:szCs w:val="22"/>
              </w:rPr>
              <w:t xml:space="preserve"> 2018 budou bonifikovány projekty hlásící se k</w:t>
            </w:r>
            <w:r w:rsidR="00B75FE2">
              <w:rPr>
                <w:rFonts w:asciiTheme="minorHAnsi" w:hAnsiTheme="minorHAnsi"/>
                <w:sz w:val="22"/>
                <w:szCs w:val="22"/>
              </w:rPr>
              <w:t xml:space="preserve"> 11</w:t>
            </w:r>
            <w:r w:rsidR="00B75FE2" w:rsidRPr="00B75FE2">
              <w:rPr>
                <w:rFonts w:asciiTheme="minorHAnsi" w:hAnsiTheme="minorHAnsi"/>
                <w:sz w:val="22"/>
                <w:szCs w:val="22"/>
              </w:rPr>
              <w:t xml:space="preserve"> stanoveným</w:t>
            </w:r>
            <w:r w:rsidR="00B75FE2">
              <w:rPr>
                <w:rFonts w:asciiTheme="minorHAnsi" w:hAnsiTheme="minorHAnsi"/>
                <w:sz w:val="22"/>
                <w:szCs w:val="22"/>
              </w:rPr>
              <w:t xml:space="preserve"> </w:t>
            </w:r>
            <w:r w:rsidR="00B75FE2" w:rsidRPr="00B75FE2">
              <w:rPr>
                <w:rFonts w:asciiTheme="minorHAnsi" w:hAnsiTheme="minorHAnsi"/>
                <w:sz w:val="22"/>
                <w:szCs w:val="22"/>
              </w:rPr>
              <w:t xml:space="preserve">prioritám z oblasti </w:t>
            </w:r>
            <w:proofErr w:type="spellStart"/>
            <w:r w:rsidR="00B75FE2" w:rsidRPr="00B75FE2">
              <w:rPr>
                <w:rFonts w:asciiTheme="minorHAnsi" w:hAnsiTheme="minorHAnsi"/>
                <w:sz w:val="22"/>
                <w:szCs w:val="22"/>
              </w:rPr>
              <w:t>Automotive</w:t>
            </w:r>
            <w:proofErr w:type="spellEnd"/>
            <w:r w:rsidR="00B75FE2" w:rsidRPr="00B75FE2">
              <w:rPr>
                <w:rFonts w:asciiTheme="minorHAnsi" w:hAnsiTheme="minorHAnsi"/>
                <w:sz w:val="22"/>
                <w:szCs w:val="22"/>
              </w:rPr>
              <w:t xml:space="preserve"> v souladu s opatřením P1 zmíněným výše</w:t>
            </w:r>
            <w:r w:rsidRPr="008C7C58">
              <w:rPr>
                <w:rFonts w:asciiTheme="minorHAnsi" w:hAnsiTheme="minorHAnsi"/>
                <w:sz w:val="22"/>
                <w:szCs w:val="22"/>
              </w:rPr>
              <w:t>)</w:t>
            </w:r>
            <w:r w:rsidR="00F730CD">
              <w:rPr>
                <w:rFonts w:asciiTheme="minorHAnsi" w:hAnsiTheme="minorHAnsi"/>
                <w:sz w:val="22"/>
                <w:szCs w:val="22"/>
              </w:rPr>
              <w:t>, MŠMT (program</w:t>
            </w:r>
            <w:r w:rsidR="00D527CC">
              <w:rPr>
                <w:rFonts w:asciiTheme="minorHAnsi" w:hAnsiTheme="minorHAnsi"/>
                <w:sz w:val="22"/>
                <w:szCs w:val="22"/>
              </w:rPr>
              <w:t xml:space="preserve"> na podporu </w:t>
            </w:r>
            <w:r w:rsidR="00D527CC" w:rsidRPr="00402042">
              <w:rPr>
                <w:rFonts w:asciiTheme="minorHAnsi" w:hAnsiTheme="minorHAnsi"/>
                <w:sz w:val="22"/>
                <w:szCs w:val="22"/>
              </w:rPr>
              <w:t xml:space="preserve">mezinárodní spolupráce ČR ve </w:t>
            </w:r>
            <w:proofErr w:type="spellStart"/>
            <w:r w:rsidR="00D527CC" w:rsidRPr="00402042">
              <w:rPr>
                <w:rFonts w:asciiTheme="minorHAnsi" w:hAnsiTheme="minorHAnsi"/>
                <w:sz w:val="22"/>
                <w:szCs w:val="22"/>
              </w:rPr>
              <w:t>VaV</w:t>
            </w:r>
            <w:proofErr w:type="spellEnd"/>
            <w:r w:rsidR="00D527CC" w:rsidRPr="00402042">
              <w:rPr>
                <w:rFonts w:asciiTheme="minorHAnsi" w:hAnsiTheme="minorHAnsi"/>
                <w:sz w:val="22"/>
                <w:szCs w:val="22"/>
              </w:rPr>
              <w:t xml:space="preserve"> INTER-EXCELLENCE</w:t>
            </w:r>
            <w:r w:rsidR="00F730CD" w:rsidRPr="00402042">
              <w:rPr>
                <w:rFonts w:asciiTheme="minorHAnsi" w:hAnsiTheme="minorHAnsi"/>
                <w:sz w:val="22"/>
                <w:szCs w:val="22"/>
              </w:rPr>
              <w:t>) nebo</w:t>
            </w:r>
            <w:r w:rsidRPr="00402042">
              <w:rPr>
                <w:rFonts w:asciiTheme="minorHAnsi" w:hAnsiTheme="minorHAnsi"/>
                <w:sz w:val="22"/>
                <w:szCs w:val="22"/>
              </w:rPr>
              <w:t xml:space="preserve"> TA ČR (zejména program</w:t>
            </w:r>
            <w:r w:rsidR="00402042" w:rsidRPr="00402042">
              <w:rPr>
                <w:rFonts w:asciiTheme="minorHAnsi" w:hAnsiTheme="minorHAnsi"/>
                <w:sz w:val="22"/>
                <w:szCs w:val="22"/>
              </w:rPr>
              <w:t>y</w:t>
            </w:r>
            <w:r w:rsidRPr="00402042">
              <w:rPr>
                <w:rFonts w:asciiTheme="minorHAnsi" w:hAnsiTheme="minorHAnsi"/>
                <w:sz w:val="22"/>
                <w:szCs w:val="22"/>
              </w:rPr>
              <w:t xml:space="preserve"> EPSILON</w:t>
            </w:r>
            <w:r w:rsidR="00402042" w:rsidRPr="00402042">
              <w:rPr>
                <w:rFonts w:asciiTheme="minorHAnsi" w:hAnsiTheme="minorHAnsi"/>
                <w:sz w:val="22"/>
                <w:szCs w:val="22"/>
              </w:rPr>
              <w:t xml:space="preserve"> a THÉTA</w:t>
            </w:r>
            <w:r w:rsidRPr="00402042">
              <w:rPr>
                <w:rFonts w:asciiTheme="minorHAnsi" w:hAnsiTheme="minorHAnsi"/>
                <w:sz w:val="22"/>
                <w:szCs w:val="22"/>
              </w:rPr>
              <w:t xml:space="preserve">), které jsou financovány z národních zdrojů a dále </w:t>
            </w:r>
            <w:r w:rsidR="00D527CC" w:rsidRPr="00402042">
              <w:rPr>
                <w:rFonts w:asciiTheme="minorHAnsi" w:hAnsiTheme="minorHAnsi"/>
                <w:sz w:val="22"/>
                <w:szCs w:val="22"/>
              </w:rPr>
              <w:t xml:space="preserve">pak </w:t>
            </w:r>
            <w:r w:rsidRPr="00402042">
              <w:rPr>
                <w:rFonts w:asciiTheme="minorHAnsi" w:hAnsiTheme="minorHAnsi"/>
                <w:sz w:val="22"/>
                <w:szCs w:val="22"/>
              </w:rPr>
              <w:t>také z</w:t>
            </w:r>
            <w:r w:rsidR="00D527CC" w:rsidRPr="00402042">
              <w:rPr>
                <w:rFonts w:asciiTheme="minorHAnsi" w:hAnsiTheme="minorHAnsi"/>
                <w:sz w:val="22"/>
                <w:szCs w:val="22"/>
              </w:rPr>
              <w:t> </w:t>
            </w:r>
            <w:r w:rsidRPr="00402042">
              <w:rPr>
                <w:rFonts w:asciiTheme="minorHAnsi" w:hAnsiTheme="minorHAnsi"/>
                <w:sz w:val="22"/>
                <w:szCs w:val="22"/>
              </w:rPr>
              <w:t>programu APLIKACE (PO1 OP PIK)</w:t>
            </w:r>
            <w:r w:rsidR="00F730CD" w:rsidRPr="00402042">
              <w:rPr>
                <w:rFonts w:asciiTheme="minorHAnsi" w:hAnsiTheme="minorHAnsi"/>
                <w:sz w:val="22"/>
                <w:szCs w:val="22"/>
              </w:rPr>
              <w:t xml:space="preserve"> nebo z OP VVV (PO1 a</w:t>
            </w:r>
            <w:r w:rsidR="00B75FE2" w:rsidRPr="00402042">
              <w:rPr>
                <w:rFonts w:asciiTheme="minorHAnsi" w:hAnsiTheme="minorHAnsi"/>
                <w:sz w:val="22"/>
                <w:szCs w:val="22"/>
              </w:rPr>
              <w:t> </w:t>
            </w:r>
            <w:r w:rsidR="00F730CD" w:rsidRPr="00402042">
              <w:rPr>
                <w:rFonts w:asciiTheme="minorHAnsi" w:hAnsiTheme="minorHAnsi"/>
                <w:sz w:val="22"/>
                <w:szCs w:val="22"/>
              </w:rPr>
              <w:t xml:space="preserve">PO2), které </w:t>
            </w:r>
            <w:r w:rsidR="00F730CD" w:rsidRPr="00402042">
              <w:rPr>
                <w:rFonts w:asciiTheme="minorHAnsi" w:hAnsiTheme="minorHAnsi"/>
                <w:sz w:val="22"/>
                <w:szCs w:val="22"/>
              </w:rPr>
              <w:lastRenderedPageBreak/>
              <w:t>jsou</w:t>
            </w:r>
            <w:r w:rsidRPr="00402042">
              <w:rPr>
                <w:rFonts w:asciiTheme="minorHAnsi" w:hAnsiTheme="minorHAnsi"/>
                <w:sz w:val="22"/>
                <w:szCs w:val="22"/>
              </w:rPr>
              <w:t xml:space="preserve"> financov</w:t>
            </w:r>
            <w:r w:rsidR="00F730CD" w:rsidRPr="00402042">
              <w:rPr>
                <w:rFonts w:asciiTheme="minorHAnsi" w:hAnsiTheme="minorHAnsi"/>
                <w:sz w:val="22"/>
                <w:szCs w:val="22"/>
              </w:rPr>
              <w:t>ány</w:t>
            </w:r>
            <w:r w:rsidRPr="00402042">
              <w:rPr>
                <w:rFonts w:asciiTheme="minorHAnsi" w:hAnsiTheme="minorHAnsi"/>
                <w:sz w:val="22"/>
                <w:szCs w:val="22"/>
              </w:rPr>
              <w:t xml:space="preserve"> z ESIF.</w:t>
            </w:r>
          </w:p>
          <w:p w14:paraId="35494FD2" w14:textId="63FAF3D6" w:rsidR="00B3045B" w:rsidRPr="00364F30" w:rsidRDefault="00402042" w:rsidP="009B705C">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402042">
              <w:rPr>
                <w:rFonts w:ascii="Calibri" w:eastAsia="Calibri" w:hAnsi="Calibri" w:cs="Calibri"/>
                <w:color w:val="000000"/>
                <w:sz w:val="22"/>
                <w:szCs w:val="22"/>
              </w:rPr>
              <w:t>V roce 2018 byla zahájena podpora projektů zaměřených na energetická témata v programu THÉTA. V</w:t>
            </w:r>
            <w:r w:rsidR="008274B3">
              <w:rPr>
                <w:rFonts w:ascii="Calibri" w:eastAsia="Calibri" w:hAnsi="Calibri" w:cs="Calibri"/>
                <w:color w:val="000000"/>
                <w:sz w:val="22"/>
                <w:szCs w:val="22"/>
              </w:rPr>
              <w:t> rámci první veřejné soutěže</w:t>
            </w:r>
            <w:r w:rsidRPr="00402042">
              <w:rPr>
                <w:rFonts w:ascii="Calibri" w:eastAsia="Calibri" w:hAnsi="Calibri" w:cs="Calibri"/>
                <w:color w:val="000000"/>
                <w:sz w:val="22"/>
                <w:szCs w:val="22"/>
              </w:rPr>
              <w:t xml:space="preserve"> byly identifikovány prioritní výzkumné cíle</w:t>
            </w:r>
            <w:r w:rsidR="00076C4C">
              <w:rPr>
                <w:rFonts w:ascii="Calibri" w:eastAsia="Calibri" w:hAnsi="Calibri" w:cs="Calibri"/>
                <w:color w:val="000000"/>
                <w:sz w:val="22"/>
                <w:szCs w:val="22"/>
              </w:rPr>
              <w:t xml:space="preserve"> (PVC)</w:t>
            </w:r>
            <w:r w:rsidRPr="00402042">
              <w:rPr>
                <w:rFonts w:ascii="Calibri" w:eastAsia="Calibri" w:hAnsi="Calibri" w:cs="Calibri"/>
                <w:color w:val="000000"/>
                <w:sz w:val="22"/>
                <w:szCs w:val="22"/>
              </w:rPr>
              <w:t xml:space="preserve">. V podprogramu 1 se jednalo o </w:t>
            </w:r>
            <w:r w:rsidR="00076C4C">
              <w:rPr>
                <w:rFonts w:ascii="Calibri" w:eastAsia="Calibri" w:hAnsi="Calibri" w:cs="Calibri"/>
                <w:color w:val="000000"/>
                <w:sz w:val="22"/>
                <w:szCs w:val="22"/>
              </w:rPr>
              <w:t>PVC</w:t>
            </w:r>
            <w:r w:rsidRPr="00402042">
              <w:rPr>
                <w:rFonts w:ascii="Calibri" w:eastAsia="Calibri" w:hAnsi="Calibri" w:cs="Calibri"/>
                <w:color w:val="000000"/>
                <w:sz w:val="22"/>
                <w:szCs w:val="22"/>
              </w:rPr>
              <w:t xml:space="preserve"> </w:t>
            </w:r>
            <w:r w:rsidR="008274B3">
              <w:rPr>
                <w:rFonts w:ascii="Calibri" w:eastAsia="Calibri" w:hAnsi="Calibri" w:cs="Calibri"/>
                <w:color w:val="000000"/>
                <w:sz w:val="22"/>
                <w:szCs w:val="22"/>
              </w:rPr>
              <w:t>„</w:t>
            </w:r>
            <w:r w:rsidRPr="00402042">
              <w:rPr>
                <w:rFonts w:ascii="Calibri" w:eastAsia="Calibri" w:hAnsi="Calibri" w:cs="Calibri"/>
                <w:color w:val="000000"/>
                <w:sz w:val="22"/>
                <w:szCs w:val="22"/>
              </w:rPr>
              <w:t>1.3.4 Metodické nástroje pro analýzu rozvoje čisté mobility“, ve kterém byl podpořen jeden projekt</w:t>
            </w:r>
            <w:r w:rsidR="008274B3">
              <w:rPr>
                <w:rFonts w:ascii="Calibri" w:eastAsia="Calibri" w:hAnsi="Calibri" w:cs="Calibri"/>
                <w:sz w:val="22"/>
                <w:szCs w:val="22"/>
              </w:rPr>
              <w:t xml:space="preserve"> s celkovou výší</w:t>
            </w:r>
            <w:r w:rsidRPr="00402042">
              <w:rPr>
                <w:rFonts w:ascii="Calibri" w:eastAsia="Calibri" w:hAnsi="Calibri" w:cs="Calibri"/>
                <w:sz w:val="22"/>
                <w:szCs w:val="22"/>
              </w:rPr>
              <w:t xml:space="preserve"> podpory 4,6 mil. Kč</w:t>
            </w:r>
            <w:r w:rsidRPr="00402042">
              <w:rPr>
                <w:rFonts w:ascii="Calibri" w:eastAsia="Calibri" w:hAnsi="Calibri" w:cs="Calibri"/>
                <w:color w:val="000000"/>
                <w:sz w:val="22"/>
                <w:szCs w:val="22"/>
              </w:rPr>
              <w:t xml:space="preserve">. U dalších dvou podprogramů byla tato oblast součástí průřezových témat. Žádný z projektů pak </w:t>
            </w:r>
            <w:r w:rsidRPr="00402042">
              <w:rPr>
                <w:rFonts w:ascii="Calibri" w:eastAsia="Calibri" w:hAnsi="Calibri" w:cs="Calibri"/>
                <w:sz w:val="22"/>
                <w:szCs w:val="22"/>
              </w:rPr>
              <w:t>neřešil přímo problematiku čisté mobility, ale v několika projektech byla řešena problematika čisté energie. Jejich výsledky by</w:t>
            </w:r>
            <w:r w:rsidR="008274B3">
              <w:rPr>
                <w:rFonts w:ascii="Calibri" w:eastAsia="Calibri" w:hAnsi="Calibri" w:cs="Calibri"/>
                <w:sz w:val="22"/>
                <w:szCs w:val="22"/>
              </w:rPr>
              <w:t xml:space="preserve"> tedy</w:t>
            </w:r>
            <w:r w:rsidRPr="00402042">
              <w:rPr>
                <w:rFonts w:ascii="Calibri" w:eastAsia="Calibri" w:hAnsi="Calibri" w:cs="Calibri"/>
                <w:sz w:val="22"/>
                <w:szCs w:val="22"/>
              </w:rPr>
              <w:t xml:space="preserve"> později mohly být pro</w:t>
            </w:r>
            <w:r w:rsidR="008274B3">
              <w:rPr>
                <w:rFonts w:ascii="Calibri" w:eastAsia="Calibri" w:hAnsi="Calibri" w:cs="Calibri"/>
                <w:sz w:val="22"/>
                <w:szCs w:val="22"/>
              </w:rPr>
              <w:t xml:space="preserve"> oblast</w:t>
            </w:r>
            <w:r w:rsidRPr="00402042">
              <w:rPr>
                <w:rFonts w:ascii="Calibri" w:eastAsia="Calibri" w:hAnsi="Calibri" w:cs="Calibri"/>
                <w:sz w:val="22"/>
                <w:szCs w:val="22"/>
              </w:rPr>
              <w:t xml:space="preserve"> čist</w:t>
            </w:r>
            <w:r w:rsidR="008274B3">
              <w:rPr>
                <w:rFonts w:ascii="Calibri" w:eastAsia="Calibri" w:hAnsi="Calibri" w:cs="Calibri"/>
                <w:sz w:val="22"/>
                <w:szCs w:val="22"/>
              </w:rPr>
              <w:t>é</w:t>
            </w:r>
            <w:r w:rsidRPr="00402042">
              <w:rPr>
                <w:rFonts w:ascii="Calibri" w:eastAsia="Calibri" w:hAnsi="Calibri" w:cs="Calibri"/>
                <w:sz w:val="22"/>
                <w:szCs w:val="22"/>
              </w:rPr>
              <w:t xml:space="preserve"> mobilit</w:t>
            </w:r>
            <w:r w:rsidR="008274B3">
              <w:rPr>
                <w:rFonts w:ascii="Calibri" w:eastAsia="Calibri" w:hAnsi="Calibri" w:cs="Calibri"/>
                <w:sz w:val="22"/>
                <w:szCs w:val="22"/>
              </w:rPr>
              <w:t>y</w:t>
            </w:r>
            <w:r w:rsidRPr="00402042">
              <w:rPr>
                <w:rFonts w:ascii="Calibri" w:eastAsia="Calibri" w:hAnsi="Calibri" w:cs="Calibri"/>
                <w:sz w:val="22"/>
                <w:szCs w:val="22"/>
              </w:rPr>
              <w:t xml:space="preserve"> využitelné. </w:t>
            </w:r>
            <w:r w:rsidRPr="00402042">
              <w:rPr>
                <w:rFonts w:ascii="Calibri" w:eastAsia="Calibri" w:hAnsi="Calibri" w:cs="Calibri"/>
                <w:color w:val="000000"/>
                <w:sz w:val="22"/>
                <w:szCs w:val="22"/>
              </w:rPr>
              <w:t>V </w:t>
            </w:r>
            <w:r w:rsidR="008274B3">
              <w:rPr>
                <w:rFonts w:ascii="Calibri" w:eastAsia="Calibri" w:hAnsi="Calibri" w:cs="Calibri"/>
                <w:color w:val="000000"/>
                <w:sz w:val="22"/>
                <w:szCs w:val="22"/>
              </w:rPr>
              <w:t>říjnu</w:t>
            </w:r>
            <w:r w:rsidRPr="00402042">
              <w:rPr>
                <w:rFonts w:ascii="Calibri" w:eastAsia="Calibri" w:hAnsi="Calibri" w:cs="Calibri"/>
                <w:color w:val="000000"/>
                <w:sz w:val="22"/>
                <w:szCs w:val="22"/>
              </w:rPr>
              <w:t xml:space="preserve"> 2018 b</w:t>
            </w:r>
            <w:r w:rsidR="008274B3">
              <w:rPr>
                <w:rFonts w:ascii="Calibri" w:eastAsia="Calibri" w:hAnsi="Calibri" w:cs="Calibri"/>
                <w:color w:val="000000"/>
                <w:sz w:val="22"/>
                <w:szCs w:val="22"/>
              </w:rPr>
              <w:t xml:space="preserve">yla </w:t>
            </w:r>
            <w:r w:rsidRPr="00402042">
              <w:rPr>
                <w:rFonts w:ascii="Calibri" w:eastAsia="Calibri" w:hAnsi="Calibri" w:cs="Calibri"/>
                <w:color w:val="000000"/>
                <w:sz w:val="22"/>
                <w:szCs w:val="22"/>
              </w:rPr>
              <w:t xml:space="preserve">vyhlášena </w:t>
            </w:r>
            <w:r w:rsidR="008274B3">
              <w:rPr>
                <w:rFonts w:ascii="Calibri" w:eastAsia="Calibri" w:hAnsi="Calibri" w:cs="Calibri"/>
                <w:color w:val="000000"/>
                <w:sz w:val="22"/>
                <w:szCs w:val="22"/>
              </w:rPr>
              <w:t>již</w:t>
            </w:r>
            <w:r w:rsidR="008274B3" w:rsidRPr="00402042">
              <w:rPr>
                <w:rFonts w:ascii="Calibri" w:eastAsia="Calibri" w:hAnsi="Calibri" w:cs="Calibri"/>
                <w:color w:val="000000"/>
                <w:sz w:val="22"/>
                <w:szCs w:val="22"/>
              </w:rPr>
              <w:t xml:space="preserve"> </w:t>
            </w:r>
            <w:r w:rsidR="008274B3">
              <w:rPr>
                <w:rFonts w:ascii="Calibri" w:eastAsia="Calibri" w:hAnsi="Calibri" w:cs="Calibri"/>
                <w:color w:val="000000"/>
                <w:sz w:val="22"/>
                <w:szCs w:val="22"/>
              </w:rPr>
              <w:t>druhá</w:t>
            </w:r>
            <w:r w:rsidRPr="00402042">
              <w:rPr>
                <w:rFonts w:ascii="Calibri" w:eastAsia="Calibri" w:hAnsi="Calibri" w:cs="Calibri"/>
                <w:color w:val="000000"/>
                <w:sz w:val="22"/>
                <w:szCs w:val="22"/>
              </w:rPr>
              <w:t xml:space="preserve"> veřejná soutěž</w:t>
            </w:r>
            <w:r w:rsidRPr="00402042">
              <w:rPr>
                <w:rFonts w:ascii="Calibri" w:eastAsia="Calibri" w:hAnsi="Calibri" w:cs="Calibri"/>
                <w:sz w:val="22"/>
                <w:szCs w:val="22"/>
              </w:rPr>
              <w:t xml:space="preserve">, pro </w:t>
            </w:r>
            <w:r w:rsidR="008274B3">
              <w:rPr>
                <w:rFonts w:ascii="Calibri" w:eastAsia="Calibri" w:hAnsi="Calibri" w:cs="Calibri"/>
                <w:sz w:val="22"/>
                <w:szCs w:val="22"/>
              </w:rPr>
              <w:t>níž</w:t>
            </w:r>
            <w:r w:rsidRPr="00402042">
              <w:rPr>
                <w:rFonts w:ascii="Calibri" w:eastAsia="Calibri" w:hAnsi="Calibri" w:cs="Calibri"/>
                <w:sz w:val="22"/>
                <w:szCs w:val="22"/>
              </w:rPr>
              <w:t xml:space="preserve"> zůstává zachován</w:t>
            </w:r>
            <w:r w:rsidRPr="00402042">
              <w:rPr>
                <w:rFonts w:ascii="Calibri" w:eastAsia="Calibri" w:hAnsi="Calibri" w:cs="Calibri"/>
                <w:color w:val="000000"/>
                <w:sz w:val="22"/>
                <w:szCs w:val="22"/>
              </w:rPr>
              <w:t xml:space="preserve"> </w:t>
            </w:r>
            <w:r w:rsidR="008274B3">
              <w:rPr>
                <w:rFonts w:ascii="Calibri" w:eastAsia="Calibri" w:hAnsi="Calibri" w:cs="Calibri"/>
                <w:sz w:val="22"/>
                <w:szCs w:val="22"/>
              </w:rPr>
              <w:t xml:space="preserve">uvedený </w:t>
            </w:r>
            <w:r w:rsidR="00076C4C">
              <w:rPr>
                <w:rFonts w:ascii="Calibri" w:eastAsia="Calibri" w:hAnsi="Calibri" w:cs="Calibri"/>
                <w:sz w:val="22"/>
                <w:szCs w:val="22"/>
              </w:rPr>
              <w:t>PVC</w:t>
            </w:r>
            <w:r w:rsidRPr="00402042">
              <w:rPr>
                <w:rFonts w:ascii="Calibri" w:eastAsia="Calibri" w:hAnsi="Calibri" w:cs="Calibri"/>
                <w:sz w:val="22"/>
                <w:szCs w:val="22"/>
              </w:rPr>
              <w:t xml:space="preserve"> a také související </w:t>
            </w:r>
            <w:r w:rsidR="00076C4C">
              <w:rPr>
                <w:rFonts w:ascii="Calibri" w:eastAsia="Calibri" w:hAnsi="Calibri" w:cs="Calibri"/>
                <w:sz w:val="22"/>
                <w:szCs w:val="22"/>
              </w:rPr>
              <w:t>PVC</w:t>
            </w:r>
            <w:r w:rsidRPr="00402042">
              <w:rPr>
                <w:rFonts w:ascii="Calibri" w:eastAsia="Calibri" w:hAnsi="Calibri" w:cs="Calibri"/>
                <w:sz w:val="22"/>
                <w:szCs w:val="22"/>
              </w:rPr>
              <w:t xml:space="preserve"> „</w:t>
            </w:r>
            <w:proofErr w:type="gramStart"/>
            <w:r w:rsidRPr="00402042">
              <w:rPr>
                <w:rFonts w:ascii="Calibri" w:eastAsia="Calibri" w:hAnsi="Calibri" w:cs="Calibri"/>
                <w:sz w:val="22"/>
                <w:szCs w:val="22"/>
              </w:rPr>
              <w:t>2.1.11</w:t>
            </w:r>
            <w:proofErr w:type="gramEnd"/>
            <w:r w:rsidRPr="00402042">
              <w:rPr>
                <w:rFonts w:ascii="Calibri" w:eastAsia="Calibri" w:hAnsi="Calibri" w:cs="Calibri"/>
                <w:sz w:val="22"/>
                <w:szCs w:val="22"/>
              </w:rPr>
              <w:t xml:space="preserve"> Nové prvky a pilotní projekty </w:t>
            </w:r>
            <w:proofErr w:type="spellStart"/>
            <w:r w:rsidRPr="00402042">
              <w:rPr>
                <w:rFonts w:ascii="Calibri" w:eastAsia="Calibri" w:hAnsi="Calibri" w:cs="Calibri"/>
                <w:sz w:val="22"/>
                <w:szCs w:val="22"/>
              </w:rPr>
              <w:t>smart</w:t>
            </w:r>
            <w:proofErr w:type="spellEnd"/>
            <w:r w:rsidRPr="00402042">
              <w:rPr>
                <w:rFonts w:ascii="Calibri" w:eastAsia="Calibri" w:hAnsi="Calibri" w:cs="Calibri"/>
                <w:sz w:val="22"/>
                <w:szCs w:val="22"/>
              </w:rPr>
              <w:t xml:space="preserve"> </w:t>
            </w:r>
            <w:proofErr w:type="spellStart"/>
            <w:r w:rsidRPr="00402042">
              <w:rPr>
                <w:rFonts w:ascii="Calibri" w:eastAsia="Calibri" w:hAnsi="Calibri" w:cs="Calibri"/>
                <w:sz w:val="22"/>
                <w:szCs w:val="22"/>
              </w:rPr>
              <w:t>grids</w:t>
            </w:r>
            <w:proofErr w:type="spellEnd"/>
            <w:r w:rsidRPr="00402042">
              <w:rPr>
                <w:rFonts w:ascii="Calibri" w:eastAsia="Calibri" w:hAnsi="Calibri" w:cs="Calibri"/>
                <w:sz w:val="22"/>
                <w:szCs w:val="22"/>
              </w:rPr>
              <w:t xml:space="preserve"> - řešení vlivů rozvoje </w:t>
            </w:r>
            <w:proofErr w:type="spellStart"/>
            <w:r w:rsidRPr="00402042">
              <w:rPr>
                <w:rFonts w:ascii="Calibri" w:eastAsia="Calibri" w:hAnsi="Calibri" w:cs="Calibri"/>
                <w:sz w:val="22"/>
                <w:szCs w:val="22"/>
              </w:rPr>
              <w:t>elektromobility</w:t>
            </w:r>
            <w:proofErr w:type="spellEnd"/>
            <w:r w:rsidRPr="00402042">
              <w:rPr>
                <w:rFonts w:ascii="Calibri" w:eastAsia="Calibri" w:hAnsi="Calibri" w:cs="Calibri"/>
                <w:sz w:val="22"/>
                <w:szCs w:val="22"/>
              </w:rPr>
              <w:t xml:space="preserve"> na distribuční soustavu včetně rozvoje konceptu </w:t>
            </w:r>
            <w:proofErr w:type="spellStart"/>
            <w:r w:rsidRPr="00402042">
              <w:rPr>
                <w:rFonts w:ascii="Calibri" w:eastAsia="Calibri" w:hAnsi="Calibri" w:cs="Calibri"/>
                <w:sz w:val="22"/>
                <w:szCs w:val="22"/>
              </w:rPr>
              <w:t>Vehicle</w:t>
            </w:r>
            <w:proofErr w:type="spellEnd"/>
            <w:r w:rsidRPr="00402042">
              <w:rPr>
                <w:rFonts w:ascii="Calibri" w:eastAsia="Calibri" w:hAnsi="Calibri" w:cs="Calibri"/>
                <w:sz w:val="22"/>
                <w:szCs w:val="22"/>
              </w:rPr>
              <w:t>-to-</w:t>
            </w:r>
            <w:proofErr w:type="spellStart"/>
            <w:r w:rsidRPr="00402042">
              <w:rPr>
                <w:rFonts w:ascii="Calibri" w:eastAsia="Calibri" w:hAnsi="Calibri" w:cs="Calibri"/>
                <w:sz w:val="22"/>
                <w:szCs w:val="22"/>
              </w:rPr>
              <w:t>Grid</w:t>
            </w:r>
            <w:proofErr w:type="spellEnd"/>
            <w:r w:rsidRPr="00402042">
              <w:rPr>
                <w:rFonts w:ascii="Calibri" w:eastAsia="Calibri" w:hAnsi="Calibri" w:cs="Calibri"/>
                <w:sz w:val="22"/>
                <w:szCs w:val="22"/>
              </w:rPr>
              <w:t>”, k</w:t>
            </w:r>
            <w:r w:rsidR="008274B3">
              <w:rPr>
                <w:rFonts w:ascii="Calibri" w:eastAsia="Calibri" w:hAnsi="Calibri" w:cs="Calibri"/>
                <w:sz w:val="22"/>
                <w:szCs w:val="22"/>
              </w:rPr>
              <w:t xml:space="preserve"> němuž</w:t>
            </w:r>
            <w:r w:rsidRPr="00402042">
              <w:rPr>
                <w:rFonts w:ascii="Calibri" w:eastAsia="Calibri" w:hAnsi="Calibri" w:cs="Calibri"/>
                <w:sz w:val="22"/>
                <w:szCs w:val="22"/>
              </w:rPr>
              <w:t xml:space="preserve"> se v </w:t>
            </w:r>
            <w:r w:rsidR="008274B3">
              <w:rPr>
                <w:rFonts w:ascii="Calibri" w:eastAsia="Calibri" w:hAnsi="Calibri" w:cs="Calibri"/>
                <w:sz w:val="22"/>
                <w:szCs w:val="22"/>
              </w:rPr>
              <w:t>první</w:t>
            </w:r>
            <w:r w:rsidRPr="00402042">
              <w:rPr>
                <w:rFonts w:ascii="Calibri" w:eastAsia="Calibri" w:hAnsi="Calibri" w:cs="Calibri"/>
                <w:sz w:val="22"/>
                <w:szCs w:val="22"/>
              </w:rPr>
              <w:t xml:space="preserve"> veřejné soutěži žádný z projektů nepřihlásil.</w:t>
            </w:r>
          </w:p>
        </w:tc>
      </w:tr>
    </w:tbl>
    <w:p w14:paraId="7356AA62" w14:textId="77777777" w:rsidR="00710291" w:rsidRDefault="00710291">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710291" w:rsidRPr="006B443D" w14:paraId="14864F86" w14:textId="77777777" w:rsidTr="00710291">
        <w:tc>
          <w:tcPr>
            <w:tcW w:w="833" w:type="pct"/>
            <w:shd w:val="clear" w:color="auto" w:fill="DBE5F1" w:themeFill="accent1" w:themeFillTint="33"/>
            <w:vAlign w:val="center"/>
          </w:tcPr>
          <w:p w14:paraId="5ED37327" w14:textId="77777777" w:rsidR="00710291" w:rsidRPr="006B443D" w:rsidRDefault="00710291" w:rsidP="00B2337B">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70F57B41" w14:textId="77777777" w:rsidR="00710291" w:rsidRPr="006B443D" w:rsidRDefault="001F6691" w:rsidP="00B2337B">
            <w:pPr>
              <w:keepNext/>
              <w:spacing w:before="120" w:after="120"/>
              <w:jc w:val="both"/>
              <w:rPr>
                <w:rFonts w:asciiTheme="minorHAnsi" w:hAnsiTheme="minorHAnsi"/>
                <w:b/>
                <w:sz w:val="22"/>
                <w:szCs w:val="22"/>
              </w:rPr>
            </w:pPr>
            <w:r w:rsidRPr="001F6691">
              <w:rPr>
                <w:rFonts w:asciiTheme="minorHAnsi" w:hAnsiTheme="minorHAnsi"/>
                <w:b/>
                <w:sz w:val="22"/>
                <w:szCs w:val="22"/>
              </w:rPr>
              <w:t>Posílit a zkvalitnit analytické a koncepční kapacity MPO a užší spolupráci s OTE při provádění analýz</w:t>
            </w:r>
          </w:p>
        </w:tc>
      </w:tr>
      <w:tr w:rsidR="00710291" w:rsidRPr="006B443D" w14:paraId="3485248D" w14:textId="77777777" w:rsidTr="00710291">
        <w:tc>
          <w:tcPr>
            <w:tcW w:w="833" w:type="pct"/>
            <w:vAlign w:val="center"/>
          </w:tcPr>
          <w:p w14:paraId="7FA57229"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09198EBA" w14:textId="77777777" w:rsidR="00710291" w:rsidRPr="006B443D" w:rsidRDefault="001F6691" w:rsidP="001F6691">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1F6691">
              <w:rPr>
                <w:rFonts w:asciiTheme="minorHAnsi" w:hAnsiTheme="minorHAnsi"/>
                <w:sz w:val="22"/>
                <w:szCs w:val="22"/>
              </w:rPr>
              <w:t>Posílit a zkvalitnit analytické a koncepční kapacity MPO a užší spolupráci s OTE při provádění analýz.</w:t>
            </w:r>
          </w:p>
        </w:tc>
      </w:tr>
      <w:tr w:rsidR="00710291" w:rsidRPr="006B443D" w14:paraId="03D99CBF" w14:textId="77777777" w:rsidTr="00710291">
        <w:tc>
          <w:tcPr>
            <w:tcW w:w="833" w:type="pct"/>
            <w:vAlign w:val="center"/>
          </w:tcPr>
          <w:p w14:paraId="72D80ACA"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6522D1DB" w14:textId="77777777" w:rsidR="00710291" w:rsidRPr="006B443D" w:rsidRDefault="001F6691" w:rsidP="00710291">
            <w:pPr>
              <w:spacing w:before="120" w:after="120"/>
              <w:jc w:val="both"/>
              <w:rPr>
                <w:rFonts w:asciiTheme="minorHAnsi" w:hAnsiTheme="minorHAnsi"/>
                <w:sz w:val="22"/>
                <w:szCs w:val="22"/>
              </w:rPr>
            </w:pPr>
            <w:r>
              <w:rPr>
                <w:rFonts w:asciiTheme="minorHAnsi" w:hAnsiTheme="minorHAnsi"/>
                <w:sz w:val="22"/>
                <w:szCs w:val="22"/>
              </w:rPr>
              <w:t>MPO</w:t>
            </w:r>
          </w:p>
        </w:tc>
      </w:tr>
      <w:tr w:rsidR="00710291" w:rsidRPr="006B443D" w14:paraId="0BD9115B" w14:textId="77777777" w:rsidTr="00710291">
        <w:tc>
          <w:tcPr>
            <w:tcW w:w="833" w:type="pct"/>
            <w:vAlign w:val="center"/>
          </w:tcPr>
          <w:p w14:paraId="4E5F0B3A"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2F3E809F" w14:textId="77777777" w:rsidR="00710291" w:rsidRPr="006B443D" w:rsidRDefault="001F6691" w:rsidP="00710291">
            <w:pPr>
              <w:spacing w:before="120" w:after="120"/>
              <w:jc w:val="both"/>
              <w:rPr>
                <w:rFonts w:asciiTheme="minorHAnsi" w:hAnsiTheme="minorHAnsi"/>
                <w:sz w:val="22"/>
                <w:szCs w:val="22"/>
              </w:rPr>
            </w:pPr>
            <w:r w:rsidRPr="001F6691">
              <w:rPr>
                <w:rFonts w:asciiTheme="minorHAnsi" w:hAnsiTheme="minorHAnsi"/>
                <w:sz w:val="22"/>
                <w:szCs w:val="22"/>
              </w:rPr>
              <w:t>do 31. 12. 2014</w:t>
            </w:r>
          </w:p>
        </w:tc>
      </w:tr>
      <w:tr w:rsidR="00710291" w:rsidRPr="006B443D" w14:paraId="4CFBBCD9" w14:textId="77777777" w:rsidTr="00710291">
        <w:tc>
          <w:tcPr>
            <w:tcW w:w="833" w:type="pct"/>
            <w:vAlign w:val="center"/>
          </w:tcPr>
          <w:p w14:paraId="217B8F60"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1C381C03" w14:textId="75DD9110" w:rsidR="001F6691" w:rsidRPr="00364F30" w:rsidRDefault="00CE4E01" w:rsidP="001F6691">
            <w:pPr>
              <w:overflowPunct w:val="0"/>
              <w:autoSpaceDE w:val="0"/>
              <w:autoSpaceDN w:val="0"/>
              <w:adjustRightInd w:val="0"/>
              <w:spacing w:before="120" w:after="120"/>
              <w:jc w:val="both"/>
              <w:textAlignment w:val="baseline"/>
              <w:rPr>
                <w:rFonts w:asciiTheme="minorHAnsi" w:hAnsiTheme="minorHAnsi"/>
                <w:b/>
                <w:sz w:val="22"/>
                <w:szCs w:val="22"/>
              </w:rPr>
            </w:pPr>
            <w:r>
              <w:rPr>
                <w:rFonts w:asciiTheme="minorHAnsi" w:hAnsiTheme="minorHAnsi"/>
                <w:b/>
                <w:sz w:val="22"/>
                <w:szCs w:val="22"/>
              </w:rPr>
              <w:t>Splněno</w:t>
            </w:r>
          </w:p>
          <w:p w14:paraId="2F97532B" w14:textId="5B7B9C75" w:rsidR="001F6691" w:rsidRPr="00364F30" w:rsidRDefault="005A4B4B" w:rsidP="001F6691">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Dne</w:t>
            </w:r>
            <w:r w:rsidR="00DA6327">
              <w:rPr>
                <w:rFonts w:asciiTheme="minorHAnsi" w:hAnsiTheme="minorHAnsi"/>
                <w:sz w:val="22"/>
                <w:szCs w:val="22"/>
              </w:rPr>
              <w:t xml:space="preserve"> 5. června 2015 byl vydán</w:t>
            </w:r>
            <w:r w:rsidR="001F6691" w:rsidRPr="00364F30">
              <w:rPr>
                <w:rFonts w:asciiTheme="minorHAnsi" w:hAnsiTheme="minorHAnsi"/>
                <w:sz w:val="22"/>
                <w:szCs w:val="22"/>
              </w:rPr>
              <w:t xml:space="preserve"> zákon č. 131/2015 Sb., kterým se mění zákon č. 458/2000 Sb., o</w:t>
            </w:r>
            <w:r w:rsidR="002F1E7C" w:rsidRPr="00364F30">
              <w:rPr>
                <w:rFonts w:asciiTheme="minorHAnsi" w:hAnsiTheme="minorHAnsi"/>
                <w:sz w:val="22"/>
                <w:szCs w:val="22"/>
              </w:rPr>
              <w:t> </w:t>
            </w:r>
            <w:r w:rsidR="001F6691" w:rsidRPr="00364F30">
              <w:rPr>
                <w:rFonts w:asciiTheme="minorHAnsi" w:hAnsiTheme="minorHAnsi"/>
                <w:sz w:val="22"/>
                <w:szCs w:val="22"/>
              </w:rPr>
              <w:t xml:space="preserve">podmínkách podnikání a o výkonu státní správy v energetických odvětvích, s účinností od 1. ledna 2016, </w:t>
            </w:r>
            <w:r w:rsidR="00BD104F">
              <w:rPr>
                <w:rFonts w:asciiTheme="minorHAnsi" w:hAnsiTheme="minorHAnsi"/>
                <w:sz w:val="22"/>
                <w:szCs w:val="22"/>
              </w:rPr>
              <w:t xml:space="preserve">jímž byla </w:t>
            </w:r>
            <w:r w:rsidR="001F6691" w:rsidRPr="00364F30">
              <w:rPr>
                <w:rFonts w:asciiTheme="minorHAnsi" w:hAnsiTheme="minorHAnsi"/>
                <w:sz w:val="22"/>
                <w:szCs w:val="22"/>
              </w:rPr>
              <w:t>upravena ustanovení týkající se povinností a</w:t>
            </w:r>
            <w:r w:rsidR="002F1E7C" w:rsidRPr="00364F30">
              <w:rPr>
                <w:rFonts w:asciiTheme="minorHAnsi" w:hAnsiTheme="minorHAnsi"/>
                <w:sz w:val="22"/>
                <w:szCs w:val="22"/>
              </w:rPr>
              <w:t> </w:t>
            </w:r>
            <w:r w:rsidR="001F6691" w:rsidRPr="00364F30">
              <w:rPr>
                <w:rFonts w:asciiTheme="minorHAnsi" w:hAnsiTheme="minorHAnsi"/>
                <w:sz w:val="22"/>
                <w:szCs w:val="22"/>
              </w:rPr>
              <w:t>práv Operátora trhu (§ 20a odst. 4 a odst. 5), kdy společnost OTE, a.s., má povinnost zpracovávat na základě požadavku MPO nebo ERÚ analýzy týkající se budoucí očekávané spotřeby elektřiny a plynu, vývoje trhu s</w:t>
            </w:r>
            <w:r w:rsidR="00BD104F">
              <w:rPr>
                <w:rFonts w:asciiTheme="minorHAnsi" w:hAnsiTheme="minorHAnsi"/>
                <w:sz w:val="22"/>
                <w:szCs w:val="22"/>
              </w:rPr>
              <w:t> </w:t>
            </w:r>
            <w:r w:rsidR="001F6691" w:rsidRPr="00364F30">
              <w:rPr>
                <w:rFonts w:asciiTheme="minorHAnsi" w:hAnsiTheme="minorHAnsi"/>
                <w:sz w:val="22"/>
                <w:szCs w:val="22"/>
              </w:rPr>
              <w:t>elektřinou a</w:t>
            </w:r>
            <w:r w:rsidR="002F1E7C" w:rsidRPr="00364F30">
              <w:rPr>
                <w:rFonts w:asciiTheme="minorHAnsi" w:hAnsiTheme="minorHAnsi"/>
                <w:sz w:val="22"/>
                <w:szCs w:val="22"/>
              </w:rPr>
              <w:t> </w:t>
            </w:r>
            <w:r w:rsidR="001F6691" w:rsidRPr="00364F30">
              <w:rPr>
                <w:rFonts w:asciiTheme="minorHAnsi" w:hAnsiTheme="minorHAnsi"/>
                <w:sz w:val="22"/>
                <w:szCs w:val="22"/>
              </w:rPr>
              <w:t>plynem, způsobů zabezpečení dodávek elektřiny a plynu a rozvoje zdrojů a</w:t>
            </w:r>
            <w:r w:rsidR="002F1E7C" w:rsidRPr="00364F30">
              <w:rPr>
                <w:rFonts w:asciiTheme="minorHAnsi" w:hAnsiTheme="minorHAnsi"/>
                <w:sz w:val="22"/>
                <w:szCs w:val="22"/>
              </w:rPr>
              <w:t> </w:t>
            </w:r>
            <w:r w:rsidR="001F6691" w:rsidRPr="00364F30">
              <w:rPr>
                <w:rFonts w:asciiTheme="minorHAnsi" w:hAnsiTheme="minorHAnsi"/>
                <w:sz w:val="22"/>
                <w:szCs w:val="22"/>
              </w:rPr>
              <w:t>právo na údaje nezbytné pro plnění svých povinností od subjektů zúčtování a</w:t>
            </w:r>
            <w:r w:rsidR="002F1E7C" w:rsidRPr="00364F30">
              <w:rPr>
                <w:rFonts w:asciiTheme="minorHAnsi" w:hAnsiTheme="minorHAnsi"/>
                <w:sz w:val="22"/>
                <w:szCs w:val="22"/>
              </w:rPr>
              <w:t> </w:t>
            </w:r>
            <w:r w:rsidR="001F6691" w:rsidRPr="00364F30">
              <w:rPr>
                <w:rFonts w:asciiTheme="minorHAnsi" w:hAnsiTheme="minorHAnsi"/>
                <w:sz w:val="22"/>
                <w:szCs w:val="22"/>
              </w:rPr>
              <w:t>registrovaných účastníků trhu s elektřinou nebo trhu s plynem a</w:t>
            </w:r>
            <w:r w:rsidR="00BD104F">
              <w:rPr>
                <w:rFonts w:asciiTheme="minorHAnsi" w:hAnsiTheme="minorHAnsi"/>
                <w:sz w:val="22"/>
                <w:szCs w:val="22"/>
              </w:rPr>
              <w:t> </w:t>
            </w:r>
            <w:r w:rsidR="001F6691" w:rsidRPr="00364F30">
              <w:rPr>
                <w:rFonts w:asciiTheme="minorHAnsi" w:hAnsiTheme="minorHAnsi"/>
                <w:sz w:val="22"/>
                <w:szCs w:val="22"/>
              </w:rPr>
              <w:t>údaje nezbytné pro zpracování zprávy o budoucí očekávané spotřebě elektřiny a plynu a o zabezpečení rovnováhy mezi nabídkou a poptávkou elektřiny a</w:t>
            </w:r>
            <w:r w:rsidR="00BD104F">
              <w:rPr>
                <w:rFonts w:asciiTheme="minorHAnsi" w:hAnsiTheme="minorHAnsi"/>
                <w:sz w:val="22"/>
                <w:szCs w:val="22"/>
              </w:rPr>
              <w:t> </w:t>
            </w:r>
            <w:r w:rsidR="001F6691" w:rsidRPr="00364F30">
              <w:rPr>
                <w:rFonts w:asciiTheme="minorHAnsi" w:hAnsiTheme="minorHAnsi"/>
                <w:sz w:val="22"/>
                <w:szCs w:val="22"/>
              </w:rPr>
              <w:t>plynu.</w:t>
            </w:r>
          </w:p>
          <w:p w14:paraId="38351EA8" w14:textId="77777777" w:rsidR="00710291" w:rsidRDefault="001F6691" w:rsidP="00364F30">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364F30">
              <w:rPr>
                <w:rFonts w:asciiTheme="minorHAnsi" w:hAnsiTheme="minorHAnsi"/>
                <w:sz w:val="22"/>
                <w:szCs w:val="22"/>
              </w:rPr>
              <w:t>Společnost OTE, a.s., při každoročním zpracování zpráv o budoucí očekávané spotřebě elektřiny a plynu a zabezpečení rovnováhy mezi nabídkou a</w:t>
            </w:r>
            <w:r w:rsidR="002F1E7C" w:rsidRPr="00364F30">
              <w:rPr>
                <w:rFonts w:asciiTheme="minorHAnsi" w:hAnsiTheme="minorHAnsi"/>
                <w:sz w:val="22"/>
                <w:szCs w:val="22"/>
              </w:rPr>
              <w:t> </w:t>
            </w:r>
            <w:r w:rsidRPr="00364F30">
              <w:rPr>
                <w:rFonts w:asciiTheme="minorHAnsi" w:hAnsiTheme="minorHAnsi"/>
                <w:sz w:val="22"/>
                <w:szCs w:val="22"/>
              </w:rPr>
              <w:t xml:space="preserve">poptávkou elektřiny a plynu spolupracuje s MPO formou pravidelných konzultací </w:t>
            </w:r>
            <w:r w:rsidR="00364F30">
              <w:rPr>
                <w:rFonts w:asciiTheme="minorHAnsi" w:hAnsiTheme="minorHAnsi"/>
                <w:sz w:val="22"/>
                <w:szCs w:val="22"/>
              </w:rPr>
              <w:t xml:space="preserve">jejich </w:t>
            </w:r>
            <w:r w:rsidRPr="00364F30">
              <w:rPr>
                <w:rFonts w:asciiTheme="minorHAnsi" w:hAnsiTheme="minorHAnsi"/>
                <w:sz w:val="22"/>
                <w:szCs w:val="22"/>
              </w:rPr>
              <w:t>východisek, obsahových náležitostí a očekávaných výstupů těchto zpráv. Tyto zprávy jsou proto současně plněním povinnosti MPO každoročně zpracovávat zprávy o vývoji energetiky v oblastech elektroenergetiky a</w:t>
            </w:r>
            <w:r w:rsidR="002F1E7C" w:rsidRPr="00364F30">
              <w:rPr>
                <w:rFonts w:asciiTheme="minorHAnsi" w:hAnsiTheme="minorHAnsi"/>
                <w:sz w:val="22"/>
                <w:szCs w:val="22"/>
              </w:rPr>
              <w:t> </w:t>
            </w:r>
            <w:r w:rsidRPr="00364F30">
              <w:rPr>
                <w:rFonts w:asciiTheme="minorHAnsi" w:hAnsiTheme="minorHAnsi"/>
                <w:sz w:val="22"/>
                <w:szCs w:val="22"/>
              </w:rPr>
              <w:t>plynárenství.</w:t>
            </w:r>
          </w:p>
          <w:p w14:paraId="5B5E5550" w14:textId="494A3A9C" w:rsidR="00FE198A" w:rsidRPr="00364F30" w:rsidRDefault="007306A8" w:rsidP="007306A8">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7306A8">
              <w:rPr>
                <w:rFonts w:asciiTheme="minorHAnsi" w:hAnsiTheme="minorHAnsi"/>
                <w:sz w:val="22"/>
                <w:szCs w:val="22"/>
              </w:rPr>
              <w:t>V rámci MPO bylo zřízeno Oddělení strategie (Odbor strategie a mezinárodní spolupráce v</w:t>
            </w:r>
            <w:r>
              <w:rPr>
                <w:rFonts w:asciiTheme="minorHAnsi" w:hAnsiTheme="minorHAnsi"/>
                <w:sz w:val="22"/>
                <w:szCs w:val="22"/>
              </w:rPr>
              <w:t> </w:t>
            </w:r>
            <w:r w:rsidRPr="007306A8">
              <w:rPr>
                <w:rFonts w:asciiTheme="minorHAnsi" w:hAnsiTheme="minorHAnsi"/>
                <w:sz w:val="22"/>
                <w:szCs w:val="22"/>
              </w:rPr>
              <w:t>energetice</w:t>
            </w:r>
            <w:r>
              <w:rPr>
                <w:rFonts w:asciiTheme="minorHAnsi" w:hAnsiTheme="minorHAnsi"/>
                <w:sz w:val="22"/>
                <w:szCs w:val="22"/>
              </w:rPr>
              <w:t>,</w:t>
            </w:r>
            <w:r w:rsidRPr="007306A8">
              <w:rPr>
                <w:rFonts w:asciiTheme="minorHAnsi" w:hAnsiTheme="minorHAnsi"/>
                <w:sz w:val="22"/>
                <w:szCs w:val="22"/>
              </w:rPr>
              <w:t xml:space="preserve"> Sekc</w:t>
            </w:r>
            <w:r>
              <w:rPr>
                <w:rFonts w:asciiTheme="minorHAnsi" w:hAnsiTheme="minorHAnsi"/>
                <w:sz w:val="22"/>
                <w:szCs w:val="22"/>
              </w:rPr>
              <w:t>e</w:t>
            </w:r>
            <w:r w:rsidRPr="007306A8">
              <w:rPr>
                <w:rFonts w:asciiTheme="minorHAnsi" w:hAnsiTheme="minorHAnsi"/>
                <w:sz w:val="22"/>
                <w:szCs w:val="22"/>
              </w:rPr>
              <w:t xml:space="preserve"> surovin a energetiky), </w:t>
            </w:r>
            <w:r>
              <w:rPr>
                <w:rFonts w:asciiTheme="minorHAnsi" w:hAnsiTheme="minorHAnsi"/>
                <w:sz w:val="22"/>
                <w:szCs w:val="22"/>
              </w:rPr>
              <w:t>které</w:t>
            </w:r>
            <w:r w:rsidRPr="007306A8">
              <w:rPr>
                <w:rFonts w:asciiTheme="minorHAnsi" w:hAnsiTheme="minorHAnsi"/>
                <w:sz w:val="22"/>
                <w:szCs w:val="22"/>
              </w:rPr>
              <w:t xml:space="preserve"> zajišťuje přípravu koncepčních dokumentů a relevantních analytických materiálů. S ohledem na plnění nástrojů identifikovaných v Národním akčním plánu rozvoje jaderné energetiky v ČR bylo na základě usnesení vlády ČR č. 48 ze dne 25. ledna 2016 ve stejném odboru zřízeno </w:t>
            </w:r>
            <w:r>
              <w:rPr>
                <w:rFonts w:asciiTheme="minorHAnsi" w:hAnsiTheme="minorHAnsi"/>
                <w:sz w:val="22"/>
                <w:szCs w:val="22"/>
              </w:rPr>
              <w:t>i</w:t>
            </w:r>
            <w:r w:rsidRPr="007306A8">
              <w:rPr>
                <w:rFonts w:asciiTheme="minorHAnsi" w:hAnsiTheme="minorHAnsi"/>
                <w:sz w:val="22"/>
                <w:szCs w:val="22"/>
              </w:rPr>
              <w:t xml:space="preserve"> Oddělení koordinace rozvoje jaderné energetiky, </w:t>
            </w:r>
            <w:r w:rsidRPr="007306A8">
              <w:rPr>
                <w:rFonts w:asciiTheme="minorHAnsi" w:hAnsiTheme="minorHAnsi"/>
                <w:sz w:val="22"/>
                <w:szCs w:val="22"/>
              </w:rPr>
              <w:lastRenderedPageBreak/>
              <w:t xml:space="preserve">které </w:t>
            </w:r>
            <w:r>
              <w:rPr>
                <w:rFonts w:asciiTheme="minorHAnsi" w:hAnsiTheme="minorHAnsi"/>
                <w:sz w:val="22"/>
                <w:szCs w:val="22"/>
              </w:rPr>
              <w:t xml:space="preserve">také </w:t>
            </w:r>
            <w:r w:rsidRPr="007306A8">
              <w:rPr>
                <w:rFonts w:asciiTheme="minorHAnsi" w:hAnsiTheme="minorHAnsi"/>
                <w:sz w:val="22"/>
                <w:szCs w:val="22"/>
              </w:rPr>
              <w:t>přisp</w:t>
            </w:r>
            <w:r>
              <w:rPr>
                <w:rFonts w:asciiTheme="minorHAnsi" w:hAnsiTheme="minorHAnsi"/>
                <w:sz w:val="22"/>
                <w:szCs w:val="22"/>
              </w:rPr>
              <w:t>ělo</w:t>
            </w:r>
            <w:r w:rsidRPr="007306A8">
              <w:rPr>
                <w:rFonts w:asciiTheme="minorHAnsi" w:hAnsiTheme="minorHAnsi"/>
                <w:sz w:val="22"/>
                <w:szCs w:val="22"/>
              </w:rPr>
              <w:t xml:space="preserve"> ke zkvalitnění analytické a koncepční kapacity MPO v oblasti jaderné energetiky.</w:t>
            </w:r>
          </w:p>
        </w:tc>
      </w:tr>
    </w:tbl>
    <w:p w14:paraId="7088A20D" w14:textId="77777777" w:rsidR="00710291" w:rsidRDefault="00710291">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710291" w:rsidRPr="006B443D" w14:paraId="0EADC984" w14:textId="77777777" w:rsidTr="00710291">
        <w:tc>
          <w:tcPr>
            <w:tcW w:w="833" w:type="pct"/>
            <w:shd w:val="clear" w:color="auto" w:fill="DBE5F1" w:themeFill="accent1" w:themeFillTint="33"/>
            <w:vAlign w:val="center"/>
          </w:tcPr>
          <w:p w14:paraId="44BDC907" w14:textId="77777777" w:rsidR="00710291" w:rsidRPr="006B443D" w:rsidRDefault="00710291" w:rsidP="00B2337B">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3FD5F892" w14:textId="77777777" w:rsidR="00710291" w:rsidRPr="006B443D" w:rsidRDefault="00124A31" w:rsidP="00B2337B">
            <w:pPr>
              <w:keepNext/>
              <w:spacing w:before="120" w:after="120"/>
              <w:jc w:val="both"/>
              <w:rPr>
                <w:rFonts w:asciiTheme="minorHAnsi" w:hAnsiTheme="minorHAnsi"/>
                <w:b/>
                <w:sz w:val="22"/>
                <w:szCs w:val="22"/>
              </w:rPr>
            </w:pPr>
            <w:r w:rsidRPr="00124A31">
              <w:rPr>
                <w:rFonts w:asciiTheme="minorHAnsi" w:hAnsiTheme="minorHAnsi"/>
                <w:b/>
                <w:sz w:val="22"/>
                <w:szCs w:val="22"/>
              </w:rPr>
              <w:t>Zpracovat Národní program energetické odolnosti</w:t>
            </w:r>
          </w:p>
        </w:tc>
      </w:tr>
      <w:tr w:rsidR="00710291" w:rsidRPr="006B443D" w14:paraId="342CD644" w14:textId="77777777" w:rsidTr="00710291">
        <w:tc>
          <w:tcPr>
            <w:tcW w:w="833" w:type="pct"/>
            <w:vAlign w:val="center"/>
          </w:tcPr>
          <w:p w14:paraId="3C188394"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137C8834" w14:textId="77777777" w:rsidR="00124A31" w:rsidRPr="00124A31" w:rsidRDefault="00124A31" w:rsidP="00124A31">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124A31">
              <w:rPr>
                <w:rFonts w:asciiTheme="minorHAnsi" w:hAnsiTheme="minorHAnsi"/>
                <w:sz w:val="22"/>
                <w:szCs w:val="22"/>
              </w:rPr>
              <w:t>Analýza dopadů, specifikace nástrojů, časového harmonogramu a zajištění řízení programu a předložení vládě ke schválení.</w:t>
            </w:r>
          </w:p>
          <w:p w14:paraId="2B81F8A7" w14:textId="77777777" w:rsidR="00710291" w:rsidRPr="006B443D" w:rsidRDefault="00124A31" w:rsidP="00124A31">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124A31">
              <w:rPr>
                <w:rFonts w:asciiTheme="minorHAnsi" w:hAnsiTheme="minorHAnsi"/>
                <w:sz w:val="22"/>
                <w:szCs w:val="22"/>
              </w:rPr>
              <w:t>Zaměření programu na energetickou odolnost a schopnost ostrovních provozů velkých aglomerací, ochranu kritické infrastruktury, obranu před kybernetickými útoky na klíčové systémy energetiky.</w:t>
            </w:r>
          </w:p>
        </w:tc>
      </w:tr>
      <w:tr w:rsidR="00710291" w:rsidRPr="006B443D" w14:paraId="051E797B" w14:textId="77777777" w:rsidTr="00710291">
        <w:tc>
          <w:tcPr>
            <w:tcW w:w="833" w:type="pct"/>
            <w:vAlign w:val="center"/>
          </w:tcPr>
          <w:p w14:paraId="3724C000"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17E69CEA" w14:textId="77777777" w:rsidR="00710291" w:rsidRPr="006B443D" w:rsidRDefault="00124A31" w:rsidP="00710291">
            <w:pPr>
              <w:spacing w:before="120" w:after="120"/>
              <w:jc w:val="both"/>
              <w:rPr>
                <w:rFonts w:asciiTheme="minorHAnsi" w:hAnsiTheme="minorHAnsi"/>
                <w:sz w:val="22"/>
                <w:szCs w:val="22"/>
              </w:rPr>
            </w:pPr>
            <w:r w:rsidRPr="00124A31">
              <w:rPr>
                <w:rFonts w:asciiTheme="minorHAnsi" w:hAnsiTheme="minorHAnsi"/>
                <w:sz w:val="22"/>
                <w:szCs w:val="22"/>
              </w:rPr>
              <w:t>MPO, v součinnosti s MV</w:t>
            </w:r>
          </w:p>
        </w:tc>
      </w:tr>
      <w:tr w:rsidR="00710291" w:rsidRPr="006B443D" w14:paraId="499FE66E" w14:textId="77777777" w:rsidTr="00710291">
        <w:tc>
          <w:tcPr>
            <w:tcW w:w="833" w:type="pct"/>
            <w:vAlign w:val="center"/>
          </w:tcPr>
          <w:p w14:paraId="7D270732"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5D4C0D1C" w14:textId="77777777" w:rsidR="00710291" w:rsidRPr="006B443D" w:rsidRDefault="00124A31" w:rsidP="001F6691">
            <w:pPr>
              <w:spacing w:before="120" w:after="120"/>
              <w:jc w:val="both"/>
              <w:rPr>
                <w:rFonts w:asciiTheme="minorHAnsi" w:hAnsiTheme="minorHAnsi"/>
                <w:sz w:val="22"/>
                <w:szCs w:val="22"/>
              </w:rPr>
            </w:pPr>
            <w:r w:rsidRPr="00124A31">
              <w:rPr>
                <w:rFonts w:asciiTheme="minorHAnsi" w:hAnsiTheme="minorHAnsi"/>
                <w:sz w:val="22"/>
                <w:szCs w:val="22"/>
              </w:rPr>
              <w:t>do 31. 12. 2015</w:t>
            </w:r>
          </w:p>
        </w:tc>
      </w:tr>
      <w:tr w:rsidR="00710291" w:rsidRPr="006B443D" w14:paraId="28261D0E" w14:textId="77777777" w:rsidTr="0029302A">
        <w:tc>
          <w:tcPr>
            <w:tcW w:w="833" w:type="pct"/>
            <w:vAlign w:val="center"/>
          </w:tcPr>
          <w:p w14:paraId="1657DC16"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43A2EE77" w14:textId="263E852F" w:rsidR="00124A31" w:rsidRPr="00575F33" w:rsidRDefault="00DA6327" w:rsidP="00124A31">
            <w:pPr>
              <w:overflowPunct w:val="0"/>
              <w:autoSpaceDE w:val="0"/>
              <w:autoSpaceDN w:val="0"/>
              <w:adjustRightInd w:val="0"/>
              <w:spacing w:before="120" w:after="120"/>
              <w:jc w:val="both"/>
              <w:textAlignment w:val="baseline"/>
              <w:rPr>
                <w:rFonts w:asciiTheme="minorHAnsi" w:hAnsiTheme="minorHAnsi"/>
                <w:b/>
                <w:sz w:val="22"/>
                <w:szCs w:val="22"/>
              </w:rPr>
            </w:pPr>
            <w:r>
              <w:rPr>
                <w:rFonts w:asciiTheme="minorHAnsi" w:hAnsiTheme="minorHAnsi"/>
                <w:b/>
                <w:sz w:val="22"/>
                <w:szCs w:val="22"/>
              </w:rPr>
              <w:t>Plnění probíhá</w:t>
            </w:r>
          </w:p>
          <w:p w14:paraId="5CA32717" w14:textId="2A990420" w:rsidR="00124A31" w:rsidRPr="00575F33" w:rsidRDefault="00A76FE4" w:rsidP="00124A31">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V návaznosti na zadání</w:t>
            </w:r>
            <w:r w:rsidR="00124A31" w:rsidRPr="00575F33">
              <w:rPr>
                <w:rFonts w:asciiTheme="minorHAnsi" w:hAnsiTheme="minorHAnsi"/>
                <w:sz w:val="22"/>
                <w:szCs w:val="22"/>
              </w:rPr>
              <w:t xml:space="preserve"> </w:t>
            </w:r>
            <w:r w:rsidR="00575F33">
              <w:rPr>
                <w:rFonts w:asciiTheme="minorHAnsi" w:hAnsiTheme="minorHAnsi"/>
                <w:sz w:val="22"/>
                <w:szCs w:val="22"/>
              </w:rPr>
              <w:t>se uskutečnilo</w:t>
            </w:r>
            <w:r w:rsidR="00124A31" w:rsidRPr="00575F33">
              <w:rPr>
                <w:rFonts w:asciiTheme="minorHAnsi" w:hAnsiTheme="minorHAnsi"/>
                <w:sz w:val="22"/>
                <w:szCs w:val="22"/>
              </w:rPr>
              <w:t xml:space="preserve"> jednání mezi zástupci MPO, Generálního ředitelství </w:t>
            </w:r>
            <w:r w:rsidR="00575F33">
              <w:rPr>
                <w:rFonts w:asciiTheme="minorHAnsi" w:hAnsiTheme="minorHAnsi"/>
                <w:sz w:val="22"/>
                <w:szCs w:val="22"/>
              </w:rPr>
              <w:t>H</w:t>
            </w:r>
            <w:r w:rsidR="00124A31" w:rsidRPr="00575F33">
              <w:rPr>
                <w:rFonts w:asciiTheme="minorHAnsi" w:hAnsiTheme="minorHAnsi"/>
                <w:sz w:val="22"/>
                <w:szCs w:val="22"/>
              </w:rPr>
              <w:t>asičského záchranného sboru, Národního bezpečnostního úřadu, S</w:t>
            </w:r>
            <w:r w:rsidR="00046075">
              <w:rPr>
                <w:rFonts w:asciiTheme="minorHAnsi" w:hAnsiTheme="minorHAnsi"/>
                <w:sz w:val="22"/>
                <w:szCs w:val="22"/>
              </w:rPr>
              <w:t>právy státních hmotných rezerv</w:t>
            </w:r>
            <w:r w:rsidR="00124A31" w:rsidRPr="00575F33">
              <w:rPr>
                <w:rFonts w:asciiTheme="minorHAnsi" w:hAnsiTheme="minorHAnsi"/>
                <w:sz w:val="22"/>
                <w:szCs w:val="22"/>
              </w:rPr>
              <w:t>, zástupci společností MERO, a.s., ČEPRO, a.s., ČEPS, a.s. a NET4GAS, s.r.o., a zástupci Teplárenského sdružení ČR, na němž byla diskutována základní východiska pro zpracování</w:t>
            </w:r>
            <w:r w:rsidR="00575F33">
              <w:rPr>
                <w:rFonts w:asciiTheme="minorHAnsi" w:hAnsiTheme="minorHAnsi"/>
                <w:sz w:val="22"/>
                <w:szCs w:val="22"/>
              </w:rPr>
              <w:t xml:space="preserve"> programu</w:t>
            </w:r>
            <w:r w:rsidR="00124A31" w:rsidRPr="00575F33">
              <w:rPr>
                <w:rFonts w:asciiTheme="minorHAnsi" w:hAnsiTheme="minorHAnsi"/>
                <w:sz w:val="22"/>
                <w:szCs w:val="22"/>
              </w:rPr>
              <w:t xml:space="preserve">. </w:t>
            </w:r>
            <w:r w:rsidR="00046075">
              <w:rPr>
                <w:rFonts w:asciiTheme="minorHAnsi" w:hAnsiTheme="minorHAnsi"/>
                <w:sz w:val="22"/>
                <w:szCs w:val="22"/>
              </w:rPr>
              <w:t>S ohledem na</w:t>
            </w:r>
            <w:r w:rsidR="00124A31" w:rsidRPr="00575F33">
              <w:rPr>
                <w:rFonts w:asciiTheme="minorHAnsi" w:hAnsiTheme="minorHAnsi"/>
                <w:sz w:val="22"/>
                <w:szCs w:val="22"/>
              </w:rPr>
              <w:t xml:space="preserve"> šíři problematiky a</w:t>
            </w:r>
            <w:r w:rsidR="00046075">
              <w:rPr>
                <w:rFonts w:asciiTheme="minorHAnsi" w:hAnsiTheme="minorHAnsi"/>
                <w:sz w:val="22"/>
                <w:szCs w:val="22"/>
              </w:rPr>
              <w:t xml:space="preserve"> </w:t>
            </w:r>
            <w:r w:rsidR="00124A31" w:rsidRPr="00575F33">
              <w:rPr>
                <w:rFonts w:asciiTheme="minorHAnsi" w:hAnsiTheme="minorHAnsi"/>
                <w:sz w:val="22"/>
                <w:szCs w:val="22"/>
              </w:rPr>
              <w:t>aktuálním potřebám bylo ze strany MPO</w:t>
            </w:r>
            <w:r w:rsidR="00575F33">
              <w:rPr>
                <w:rFonts w:asciiTheme="minorHAnsi" w:hAnsiTheme="minorHAnsi"/>
                <w:sz w:val="22"/>
                <w:szCs w:val="22"/>
              </w:rPr>
              <w:t xml:space="preserve"> nejprve</w:t>
            </w:r>
            <w:r w:rsidR="00124A31" w:rsidRPr="00575F33">
              <w:rPr>
                <w:rFonts w:asciiTheme="minorHAnsi" w:hAnsiTheme="minorHAnsi"/>
                <w:sz w:val="22"/>
                <w:szCs w:val="22"/>
              </w:rPr>
              <w:t xml:space="preserve"> přistoupeno k</w:t>
            </w:r>
            <w:r w:rsidR="00046075">
              <w:rPr>
                <w:rFonts w:asciiTheme="minorHAnsi" w:hAnsiTheme="minorHAnsi"/>
                <w:sz w:val="22"/>
                <w:szCs w:val="22"/>
              </w:rPr>
              <w:t> </w:t>
            </w:r>
            <w:r w:rsidR="00124A31" w:rsidRPr="00575F33">
              <w:rPr>
                <w:rFonts w:asciiTheme="minorHAnsi" w:hAnsiTheme="minorHAnsi"/>
                <w:sz w:val="22"/>
                <w:szCs w:val="22"/>
              </w:rPr>
              <w:t>samostatnému řešení problematiky náhradního zásobování Hlavního města Prahy elektřinou a</w:t>
            </w:r>
            <w:r w:rsidR="002F1E7C" w:rsidRPr="00575F33">
              <w:rPr>
                <w:rFonts w:asciiTheme="minorHAnsi" w:hAnsiTheme="minorHAnsi"/>
                <w:sz w:val="22"/>
                <w:szCs w:val="22"/>
              </w:rPr>
              <w:t> v</w:t>
            </w:r>
            <w:r w:rsidR="00124A31" w:rsidRPr="00575F33">
              <w:rPr>
                <w:rFonts w:asciiTheme="minorHAnsi" w:hAnsiTheme="minorHAnsi"/>
                <w:sz w:val="22"/>
                <w:szCs w:val="22"/>
              </w:rPr>
              <w:t>yužití výstupů jako jednoho ze základů programu.</w:t>
            </w:r>
          </w:p>
          <w:p w14:paraId="2FF78497" w14:textId="238D9C58" w:rsidR="005948AA" w:rsidRDefault="00A76FE4" w:rsidP="00046075">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Dále</w:t>
            </w:r>
            <w:r w:rsidR="00124A31" w:rsidRPr="00575F33">
              <w:rPr>
                <w:rFonts w:asciiTheme="minorHAnsi" w:hAnsiTheme="minorHAnsi"/>
                <w:sz w:val="22"/>
                <w:szCs w:val="22"/>
              </w:rPr>
              <w:t xml:space="preserve"> proběhlo jednání mezi </w:t>
            </w:r>
            <w:r w:rsidR="00575F33">
              <w:rPr>
                <w:rFonts w:asciiTheme="minorHAnsi" w:hAnsiTheme="minorHAnsi"/>
                <w:sz w:val="22"/>
                <w:szCs w:val="22"/>
              </w:rPr>
              <w:t>zástupci MPO, Magistrátu H</w:t>
            </w:r>
            <w:r w:rsidR="00124A31" w:rsidRPr="00575F33">
              <w:rPr>
                <w:rFonts w:asciiTheme="minorHAnsi" w:hAnsiTheme="minorHAnsi"/>
                <w:sz w:val="22"/>
                <w:szCs w:val="22"/>
              </w:rPr>
              <w:t xml:space="preserve">lavního města Prahy, Generálního ředitelství Hasičského záchranného sboru a zástupci společností ČEPS, a.s., ČEZ Distribuce, a.s. a </w:t>
            </w:r>
            <w:proofErr w:type="spellStart"/>
            <w:r w:rsidR="00124A31" w:rsidRPr="00575F33">
              <w:rPr>
                <w:rFonts w:asciiTheme="minorHAnsi" w:hAnsiTheme="minorHAnsi"/>
                <w:sz w:val="22"/>
                <w:szCs w:val="22"/>
              </w:rPr>
              <w:t>PREdistribuce</w:t>
            </w:r>
            <w:proofErr w:type="spellEnd"/>
            <w:r w:rsidR="00124A31" w:rsidRPr="00575F33">
              <w:rPr>
                <w:rFonts w:asciiTheme="minorHAnsi" w:hAnsiTheme="minorHAnsi"/>
                <w:sz w:val="22"/>
                <w:szCs w:val="22"/>
              </w:rPr>
              <w:t xml:space="preserve">, a.s., na němž byla diskutována </w:t>
            </w:r>
            <w:r w:rsidR="00575F33" w:rsidRPr="00575F33">
              <w:rPr>
                <w:rFonts w:asciiTheme="minorHAnsi" w:hAnsiTheme="minorHAnsi"/>
                <w:sz w:val="22"/>
                <w:szCs w:val="22"/>
              </w:rPr>
              <w:t>oblast</w:t>
            </w:r>
            <w:r w:rsidR="00124A31" w:rsidRPr="00575F33">
              <w:rPr>
                <w:rFonts w:asciiTheme="minorHAnsi" w:hAnsiTheme="minorHAnsi"/>
                <w:sz w:val="22"/>
                <w:szCs w:val="22"/>
              </w:rPr>
              <w:t xml:space="preserve"> nouzového zásobování Hlavního města Prahy e</w:t>
            </w:r>
            <w:r w:rsidR="00575F33">
              <w:rPr>
                <w:rFonts w:asciiTheme="minorHAnsi" w:hAnsiTheme="minorHAnsi"/>
                <w:sz w:val="22"/>
                <w:szCs w:val="22"/>
              </w:rPr>
              <w:t>lektrickou energií</w:t>
            </w:r>
            <w:r w:rsidR="00124A31" w:rsidRPr="00575F33">
              <w:rPr>
                <w:rFonts w:asciiTheme="minorHAnsi" w:hAnsiTheme="minorHAnsi"/>
                <w:sz w:val="22"/>
                <w:szCs w:val="22"/>
              </w:rPr>
              <w:t xml:space="preserve"> a </w:t>
            </w:r>
            <w:r>
              <w:rPr>
                <w:rFonts w:asciiTheme="minorHAnsi" w:hAnsiTheme="minorHAnsi"/>
                <w:sz w:val="22"/>
                <w:szCs w:val="22"/>
              </w:rPr>
              <w:t xml:space="preserve">také </w:t>
            </w:r>
            <w:r w:rsidR="00124A31" w:rsidRPr="00575F33">
              <w:rPr>
                <w:rFonts w:asciiTheme="minorHAnsi" w:hAnsiTheme="minorHAnsi"/>
                <w:sz w:val="22"/>
                <w:szCs w:val="22"/>
              </w:rPr>
              <w:t xml:space="preserve">stanoven další postup včetně harmonogramu, </w:t>
            </w:r>
            <w:r>
              <w:rPr>
                <w:rFonts w:asciiTheme="minorHAnsi" w:hAnsiTheme="minorHAnsi"/>
                <w:sz w:val="22"/>
                <w:szCs w:val="22"/>
              </w:rPr>
              <w:t>na jehož základě</w:t>
            </w:r>
            <w:r w:rsidR="00124A31" w:rsidRPr="00575F33">
              <w:rPr>
                <w:rFonts w:asciiTheme="minorHAnsi" w:hAnsiTheme="minorHAnsi"/>
                <w:sz w:val="22"/>
                <w:szCs w:val="22"/>
              </w:rPr>
              <w:t xml:space="preserve"> </w:t>
            </w:r>
            <w:r>
              <w:rPr>
                <w:rFonts w:asciiTheme="minorHAnsi" w:hAnsiTheme="minorHAnsi"/>
                <w:sz w:val="22"/>
                <w:szCs w:val="22"/>
              </w:rPr>
              <w:t>byly</w:t>
            </w:r>
            <w:r w:rsidR="00124A31" w:rsidRPr="00575F33">
              <w:rPr>
                <w:rFonts w:asciiTheme="minorHAnsi" w:hAnsiTheme="minorHAnsi"/>
                <w:sz w:val="22"/>
                <w:szCs w:val="22"/>
              </w:rPr>
              <w:t xml:space="preserve"> definovány typové situace výpadku dodávek elektřiny pro Hlavní město Prahu z úrovně přenosové soustavy ČR, </w:t>
            </w:r>
            <w:r>
              <w:rPr>
                <w:rFonts w:asciiTheme="minorHAnsi" w:hAnsiTheme="minorHAnsi"/>
                <w:sz w:val="22"/>
                <w:szCs w:val="22"/>
              </w:rPr>
              <w:t xml:space="preserve">a měly by být </w:t>
            </w:r>
            <w:r w:rsidR="00124A31" w:rsidRPr="00575F33">
              <w:rPr>
                <w:rFonts w:asciiTheme="minorHAnsi" w:hAnsiTheme="minorHAnsi"/>
                <w:sz w:val="22"/>
                <w:szCs w:val="22"/>
              </w:rPr>
              <w:t>aktualizovány nároky klíčových prvků na území Hlavního města Prahy pro fungování města a státu a</w:t>
            </w:r>
            <w:r w:rsidR="00575F33">
              <w:rPr>
                <w:rFonts w:asciiTheme="minorHAnsi" w:hAnsiTheme="minorHAnsi"/>
                <w:sz w:val="22"/>
                <w:szCs w:val="22"/>
              </w:rPr>
              <w:t> </w:t>
            </w:r>
            <w:r w:rsidR="00124A31" w:rsidRPr="00575F33">
              <w:rPr>
                <w:rFonts w:asciiTheme="minorHAnsi" w:hAnsiTheme="minorHAnsi"/>
                <w:sz w:val="22"/>
                <w:szCs w:val="22"/>
              </w:rPr>
              <w:t>diskutovány všechny možnosti</w:t>
            </w:r>
            <w:r w:rsidR="00575F33">
              <w:rPr>
                <w:rFonts w:asciiTheme="minorHAnsi" w:hAnsiTheme="minorHAnsi"/>
                <w:sz w:val="22"/>
                <w:szCs w:val="22"/>
              </w:rPr>
              <w:t xml:space="preserve"> pro</w:t>
            </w:r>
            <w:r w:rsidR="00124A31" w:rsidRPr="00575F33">
              <w:rPr>
                <w:rFonts w:asciiTheme="minorHAnsi" w:hAnsiTheme="minorHAnsi"/>
                <w:sz w:val="22"/>
                <w:szCs w:val="22"/>
              </w:rPr>
              <w:t xml:space="preserve"> zajištění náhradního zásobování Hlavního města Prahy elektrickou energií.</w:t>
            </w:r>
            <w:r w:rsidR="00572041" w:rsidRPr="00575F33">
              <w:rPr>
                <w:rFonts w:asciiTheme="minorHAnsi" w:hAnsiTheme="minorHAnsi"/>
                <w:sz w:val="22"/>
                <w:szCs w:val="22"/>
              </w:rPr>
              <w:t xml:space="preserve"> </w:t>
            </w:r>
            <w:r>
              <w:rPr>
                <w:rFonts w:asciiTheme="minorHAnsi" w:hAnsiTheme="minorHAnsi"/>
                <w:sz w:val="22"/>
                <w:szCs w:val="22"/>
              </w:rPr>
              <w:t xml:space="preserve">V rámci </w:t>
            </w:r>
            <w:r w:rsidR="00572041" w:rsidRPr="00575F33">
              <w:rPr>
                <w:rFonts w:asciiTheme="minorHAnsi" w:hAnsiTheme="minorHAnsi"/>
                <w:sz w:val="22"/>
                <w:szCs w:val="22"/>
              </w:rPr>
              <w:t>návazné</w:t>
            </w:r>
            <w:r>
              <w:rPr>
                <w:rFonts w:asciiTheme="minorHAnsi" w:hAnsiTheme="minorHAnsi"/>
                <w:sz w:val="22"/>
                <w:szCs w:val="22"/>
              </w:rPr>
              <w:t xml:space="preserve">ho jednání v této věci </w:t>
            </w:r>
            <w:r w:rsidR="00572041" w:rsidRPr="00575F33">
              <w:rPr>
                <w:rFonts w:asciiTheme="minorHAnsi" w:hAnsiTheme="minorHAnsi"/>
                <w:sz w:val="22"/>
                <w:szCs w:val="22"/>
              </w:rPr>
              <w:t xml:space="preserve">byly diskutovány </w:t>
            </w:r>
            <w:r>
              <w:rPr>
                <w:rFonts w:asciiTheme="minorHAnsi" w:hAnsiTheme="minorHAnsi"/>
                <w:sz w:val="22"/>
                <w:szCs w:val="22"/>
              </w:rPr>
              <w:t xml:space="preserve">i </w:t>
            </w:r>
            <w:r w:rsidR="00572041" w:rsidRPr="00575F33">
              <w:rPr>
                <w:rFonts w:asciiTheme="minorHAnsi" w:hAnsiTheme="minorHAnsi"/>
                <w:sz w:val="22"/>
                <w:szCs w:val="22"/>
              </w:rPr>
              <w:t>další krok</w:t>
            </w:r>
            <w:r w:rsidR="005C4D2A">
              <w:rPr>
                <w:rFonts w:asciiTheme="minorHAnsi" w:hAnsiTheme="minorHAnsi"/>
                <w:sz w:val="22"/>
                <w:szCs w:val="22"/>
              </w:rPr>
              <w:t>y</w:t>
            </w:r>
            <w:r>
              <w:rPr>
                <w:rFonts w:asciiTheme="minorHAnsi" w:hAnsiTheme="minorHAnsi"/>
                <w:sz w:val="22"/>
                <w:szCs w:val="22"/>
              </w:rPr>
              <w:t xml:space="preserve"> a n</w:t>
            </w:r>
            <w:r w:rsidR="005C4D2A">
              <w:rPr>
                <w:rFonts w:asciiTheme="minorHAnsi" w:hAnsiTheme="minorHAnsi"/>
                <w:sz w:val="22"/>
                <w:szCs w:val="22"/>
              </w:rPr>
              <w:t xml:space="preserve">ásledně byl připraven návrh kategorizace klíčových objektů a prvků, který byl projednán na </w:t>
            </w:r>
            <w:r>
              <w:rPr>
                <w:rFonts w:asciiTheme="minorHAnsi" w:hAnsiTheme="minorHAnsi"/>
                <w:sz w:val="22"/>
                <w:szCs w:val="22"/>
              </w:rPr>
              <w:t xml:space="preserve">dalším </w:t>
            </w:r>
            <w:r w:rsidR="005C4D2A">
              <w:rPr>
                <w:rFonts w:asciiTheme="minorHAnsi" w:hAnsiTheme="minorHAnsi"/>
                <w:sz w:val="22"/>
                <w:szCs w:val="22"/>
              </w:rPr>
              <w:t>společném jednání, dále zaslán k připomínkám zástupcům jednotlivých kraj</w:t>
            </w:r>
            <w:r w:rsidR="005948AA">
              <w:rPr>
                <w:rFonts w:asciiTheme="minorHAnsi" w:hAnsiTheme="minorHAnsi"/>
                <w:sz w:val="22"/>
                <w:szCs w:val="22"/>
              </w:rPr>
              <w:t>ských úřadů</w:t>
            </w:r>
            <w:r w:rsidR="00091685">
              <w:rPr>
                <w:rFonts w:asciiTheme="minorHAnsi" w:hAnsiTheme="minorHAnsi"/>
                <w:sz w:val="22"/>
                <w:szCs w:val="22"/>
              </w:rPr>
              <w:t xml:space="preserve"> a diskutován </w:t>
            </w:r>
            <w:r w:rsidR="005948AA">
              <w:rPr>
                <w:rFonts w:asciiTheme="minorHAnsi" w:hAnsiTheme="minorHAnsi"/>
                <w:sz w:val="22"/>
                <w:szCs w:val="22"/>
              </w:rPr>
              <w:t>rovněž</w:t>
            </w:r>
            <w:r w:rsidR="00091685">
              <w:rPr>
                <w:rFonts w:asciiTheme="minorHAnsi" w:hAnsiTheme="minorHAnsi"/>
                <w:sz w:val="22"/>
                <w:szCs w:val="22"/>
              </w:rPr>
              <w:t xml:space="preserve"> s dalšími re</w:t>
            </w:r>
            <w:r w:rsidR="009D1D20">
              <w:rPr>
                <w:rFonts w:asciiTheme="minorHAnsi" w:hAnsiTheme="minorHAnsi"/>
                <w:sz w:val="22"/>
                <w:szCs w:val="22"/>
              </w:rPr>
              <w:t>s</w:t>
            </w:r>
            <w:r w:rsidR="00091685">
              <w:rPr>
                <w:rFonts w:asciiTheme="minorHAnsi" w:hAnsiTheme="minorHAnsi"/>
                <w:sz w:val="22"/>
                <w:szCs w:val="22"/>
              </w:rPr>
              <w:t>orty, aby mohl být uplatněn na celé území ČR.</w:t>
            </w:r>
            <w:r w:rsidR="005948AA">
              <w:rPr>
                <w:rFonts w:asciiTheme="minorHAnsi" w:hAnsiTheme="minorHAnsi"/>
                <w:sz w:val="22"/>
                <w:szCs w:val="22"/>
              </w:rPr>
              <w:t xml:space="preserve"> V návaznosti na tyto kroky byl následně připraven návrh dílčího dokumentu, </w:t>
            </w:r>
            <w:r w:rsidR="005948AA" w:rsidRPr="005948AA">
              <w:rPr>
                <w:rFonts w:asciiTheme="minorHAnsi" w:hAnsiTheme="minorHAnsi"/>
                <w:sz w:val="22"/>
                <w:szCs w:val="22"/>
              </w:rPr>
              <w:t>zobecňujícího postup aplikovaný v rámci uvedených aktivit, který postihuje problematiku energetické odolnosti v oblasti zásobování elektrickou energií</w:t>
            </w:r>
            <w:r w:rsidR="005948AA">
              <w:rPr>
                <w:rFonts w:asciiTheme="minorHAnsi" w:hAnsiTheme="minorHAnsi"/>
                <w:sz w:val="22"/>
                <w:szCs w:val="22"/>
              </w:rPr>
              <w:t>, který byl projednán na počátku roku 2018</w:t>
            </w:r>
            <w:r w:rsidR="005948AA" w:rsidRPr="005948AA">
              <w:rPr>
                <w:rFonts w:asciiTheme="minorHAnsi" w:hAnsiTheme="minorHAnsi"/>
                <w:sz w:val="22"/>
                <w:szCs w:val="22"/>
              </w:rPr>
              <w:t>.</w:t>
            </w:r>
          </w:p>
          <w:p w14:paraId="7A1F91B7" w14:textId="1370992E" w:rsidR="005948AA" w:rsidRPr="005948AA" w:rsidRDefault="00046075" w:rsidP="005A3CAF">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 xml:space="preserve">Následně se uskutečnilo jednání </w:t>
            </w:r>
            <w:r w:rsidRPr="00575F33">
              <w:rPr>
                <w:rFonts w:asciiTheme="minorHAnsi" w:hAnsiTheme="minorHAnsi"/>
                <w:sz w:val="22"/>
                <w:szCs w:val="22"/>
              </w:rPr>
              <w:t>zástupc</w:t>
            </w:r>
            <w:r>
              <w:rPr>
                <w:rFonts w:asciiTheme="minorHAnsi" w:hAnsiTheme="minorHAnsi"/>
                <w:sz w:val="22"/>
                <w:szCs w:val="22"/>
              </w:rPr>
              <w:t>ů</w:t>
            </w:r>
            <w:r w:rsidRPr="00575F33">
              <w:rPr>
                <w:rFonts w:asciiTheme="minorHAnsi" w:hAnsiTheme="minorHAnsi"/>
                <w:sz w:val="22"/>
                <w:szCs w:val="22"/>
              </w:rPr>
              <w:t xml:space="preserve"> </w:t>
            </w:r>
            <w:r>
              <w:rPr>
                <w:rFonts w:asciiTheme="minorHAnsi" w:hAnsiTheme="minorHAnsi"/>
                <w:sz w:val="22"/>
                <w:szCs w:val="22"/>
              </w:rPr>
              <w:t>všech dosud zúčastněných institucí a subjektů, na němž byly shrnuty dosavadní aktivity</w:t>
            </w:r>
            <w:r w:rsidR="0046242E">
              <w:rPr>
                <w:rFonts w:asciiTheme="minorHAnsi" w:hAnsiTheme="minorHAnsi"/>
                <w:sz w:val="22"/>
                <w:szCs w:val="22"/>
              </w:rPr>
              <w:t xml:space="preserve"> a</w:t>
            </w:r>
            <w:r>
              <w:rPr>
                <w:rFonts w:asciiTheme="minorHAnsi" w:hAnsiTheme="minorHAnsi"/>
                <w:sz w:val="22"/>
                <w:szCs w:val="22"/>
              </w:rPr>
              <w:t xml:space="preserve"> představeny </w:t>
            </w:r>
            <w:r w:rsidR="005A3CAF">
              <w:rPr>
                <w:rFonts w:asciiTheme="minorHAnsi" w:hAnsiTheme="minorHAnsi"/>
                <w:sz w:val="22"/>
                <w:szCs w:val="22"/>
              </w:rPr>
              <w:t xml:space="preserve">uplatněné </w:t>
            </w:r>
            <w:r>
              <w:rPr>
                <w:rFonts w:asciiTheme="minorHAnsi" w:hAnsiTheme="minorHAnsi"/>
                <w:sz w:val="22"/>
                <w:szCs w:val="22"/>
              </w:rPr>
              <w:t>postupy</w:t>
            </w:r>
            <w:r w:rsidR="0046242E">
              <w:rPr>
                <w:rFonts w:asciiTheme="minorHAnsi" w:hAnsiTheme="minorHAnsi"/>
                <w:sz w:val="22"/>
                <w:szCs w:val="22"/>
              </w:rPr>
              <w:t xml:space="preserve"> a na němž byl prodiskutován dílčí návrh. Vzhledem k přesahům do dalších aktivit, kam patří </w:t>
            </w:r>
            <w:r w:rsidR="005A3CAF">
              <w:rPr>
                <w:rFonts w:asciiTheme="minorHAnsi" w:hAnsiTheme="minorHAnsi"/>
                <w:sz w:val="22"/>
                <w:szCs w:val="22"/>
              </w:rPr>
              <w:t xml:space="preserve">např. </w:t>
            </w:r>
            <w:r w:rsidR="0046242E">
              <w:rPr>
                <w:rFonts w:asciiTheme="minorHAnsi" w:hAnsiTheme="minorHAnsi"/>
                <w:sz w:val="22"/>
                <w:szCs w:val="22"/>
              </w:rPr>
              <w:t>projekt „RESILIENCE 2015:</w:t>
            </w:r>
            <w:r w:rsidR="0046242E" w:rsidRPr="0046242E">
              <w:rPr>
                <w:rFonts w:asciiTheme="minorHAnsi" w:hAnsiTheme="minorHAnsi"/>
                <w:sz w:val="22"/>
                <w:szCs w:val="22"/>
              </w:rPr>
              <w:t xml:space="preserve"> Dynamické hodnocení odolnosti souvztažných subsystémů kritické infrastruktury</w:t>
            </w:r>
            <w:r w:rsidR="0046242E">
              <w:rPr>
                <w:rFonts w:asciiTheme="minorHAnsi" w:hAnsiTheme="minorHAnsi"/>
                <w:sz w:val="22"/>
                <w:szCs w:val="22"/>
              </w:rPr>
              <w:t>“</w:t>
            </w:r>
            <w:r w:rsidR="005A3CAF">
              <w:rPr>
                <w:rFonts w:asciiTheme="minorHAnsi" w:hAnsiTheme="minorHAnsi"/>
                <w:sz w:val="22"/>
                <w:szCs w:val="22"/>
              </w:rPr>
              <w:t>, který je</w:t>
            </w:r>
            <w:r w:rsidR="0046242E">
              <w:rPr>
                <w:rFonts w:asciiTheme="minorHAnsi" w:hAnsiTheme="minorHAnsi"/>
                <w:sz w:val="22"/>
                <w:szCs w:val="22"/>
              </w:rPr>
              <w:t xml:space="preserve"> realizov</w:t>
            </w:r>
            <w:r w:rsidR="005A3CAF">
              <w:rPr>
                <w:rFonts w:asciiTheme="minorHAnsi" w:hAnsiTheme="minorHAnsi"/>
                <w:sz w:val="22"/>
                <w:szCs w:val="22"/>
              </w:rPr>
              <w:t>án</w:t>
            </w:r>
            <w:r w:rsidR="0046242E">
              <w:rPr>
                <w:rFonts w:asciiTheme="minorHAnsi" w:hAnsiTheme="minorHAnsi"/>
                <w:sz w:val="22"/>
                <w:szCs w:val="22"/>
              </w:rPr>
              <w:t xml:space="preserve"> z prostředků M</w:t>
            </w:r>
            <w:r w:rsidR="005A3CAF">
              <w:rPr>
                <w:rFonts w:asciiTheme="minorHAnsi" w:hAnsiTheme="minorHAnsi"/>
                <w:sz w:val="22"/>
                <w:szCs w:val="22"/>
              </w:rPr>
              <w:t>V</w:t>
            </w:r>
            <w:r w:rsidR="0046242E">
              <w:rPr>
                <w:rFonts w:asciiTheme="minorHAnsi" w:hAnsiTheme="minorHAnsi"/>
                <w:sz w:val="22"/>
                <w:szCs w:val="22"/>
              </w:rPr>
              <w:t xml:space="preserve"> odborným týmem pod vedením Univerzity Tomáše Bati ve Zlíně a také úkol M</w:t>
            </w:r>
            <w:r w:rsidR="005A3CAF">
              <w:rPr>
                <w:rFonts w:asciiTheme="minorHAnsi" w:hAnsiTheme="minorHAnsi"/>
                <w:sz w:val="22"/>
                <w:szCs w:val="22"/>
              </w:rPr>
              <w:t>V</w:t>
            </w:r>
            <w:r w:rsidR="0046242E">
              <w:rPr>
                <w:rFonts w:asciiTheme="minorHAnsi" w:hAnsiTheme="minorHAnsi"/>
                <w:sz w:val="22"/>
                <w:szCs w:val="22"/>
              </w:rPr>
              <w:t xml:space="preserve"> </w:t>
            </w:r>
            <w:r w:rsidR="0046242E" w:rsidRPr="0046242E">
              <w:rPr>
                <w:rFonts w:asciiTheme="minorHAnsi" w:hAnsiTheme="minorHAnsi"/>
                <w:sz w:val="22"/>
                <w:szCs w:val="22"/>
              </w:rPr>
              <w:t>předložit vládě ČR materiál doporučující postup v oblasti identifikace potřeb náhra</w:t>
            </w:r>
            <w:r w:rsidR="0046242E">
              <w:rPr>
                <w:rFonts w:asciiTheme="minorHAnsi" w:hAnsiTheme="minorHAnsi"/>
                <w:sz w:val="22"/>
                <w:szCs w:val="22"/>
              </w:rPr>
              <w:t xml:space="preserve">dních zdrojů elektrické energie, bylo dohodnuto tyto </w:t>
            </w:r>
            <w:r w:rsidR="00136845">
              <w:rPr>
                <w:rFonts w:asciiTheme="minorHAnsi" w:hAnsiTheme="minorHAnsi"/>
                <w:sz w:val="22"/>
                <w:szCs w:val="22"/>
              </w:rPr>
              <w:t>vzájemně propojit, a to zejména společnou metodikou</w:t>
            </w:r>
            <w:r w:rsidR="0046242E">
              <w:rPr>
                <w:rFonts w:asciiTheme="minorHAnsi" w:hAnsiTheme="minorHAnsi"/>
                <w:sz w:val="22"/>
                <w:szCs w:val="22"/>
              </w:rPr>
              <w:t>.</w:t>
            </w:r>
          </w:p>
        </w:tc>
      </w:tr>
    </w:tbl>
    <w:p w14:paraId="59357A6D" w14:textId="6C1020C1" w:rsidR="00710291" w:rsidRDefault="00710291">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710291" w:rsidRPr="006B443D" w14:paraId="5B6A8B3F" w14:textId="77777777" w:rsidTr="00710291">
        <w:tc>
          <w:tcPr>
            <w:tcW w:w="833" w:type="pct"/>
            <w:shd w:val="clear" w:color="auto" w:fill="DBE5F1" w:themeFill="accent1" w:themeFillTint="33"/>
            <w:vAlign w:val="center"/>
          </w:tcPr>
          <w:p w14:paraId="73A6875A" w14:textId="77777777" w:rsidR="00710291" w:rsidRPr="006B443D" w:rsidRDefault="00710291" w:rsidP="00B2337B">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56A38D24" w14:textId="77777777" w:rsidR="00710291" w:rsidRPr="006B443D" w:rsidRDefault="00124A31" w:rsidP="00B2337B">
            <w:pPr>
              <w:keepNext/>
              <w:spacing w:before="120" w:after="120"/>
              <w:jc w:val="both"/>
              <w:rPr>
                <w:rFonts w:asciiTheme="minorHAnsi" w:hAnsiTheme="minorHAnsi"/>
                <w:b/>
                <w:sz w:val="22"/>
                <w:szCs w:val="22"/>
              </w:rPr>
            </w:pPr>
            <w:r w:rsidRPr="00124A31">
              <w:rPr>
                <w:rFonts w:asciiTheme="minorHAnsi" w:hAnsiTheme="minorHAnsi"/>
                <w:b/>
                <w:sz w:val="22"/>
                <w:szCs w:val="22"/>
              </w:rPr>
              <w:t>Autorizace, povolovací procesy a normativní činnost</w:t>
            </w:r>
          </w:p>
        </w:tc>
      </w:tr>
      <w:tr w:rsidR="00710291" w:rsidRPr="006B443D" w14:paraId="4178CFC1" w14:textId="77777777" w:rsidTr="00710291">
        <w:tc>
          <w:tcPr>
            <w:tcW w:w="833" w:type="pct"/>
            <w:vAlign w:val="center"/>
          </w:tcPr>
          <w:p w14:paraId="216CE2AE"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6940EB2D" w14:textId="6E851933" w:rsidR="00124A31" w:rsidRPr="00124A31" w:rsidRDefault="00124A31" w:rsidP="00124A31">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124A31">
              <w:rPr>
                <w:rFonts w:asciiTheme="minorHAnsi" w:hAnsiTheme="minorHAnsi"/>
                <w:sz w:val="22"/>
                <w:szCs w:val="22"/>
              </w:rPr>
              <w:t>Zajistit vydávání autorizací na výstavbu nebo zásadní rekonstrukci výroben elektřiny a vybraných plynových zařízení s ohledem na účelnost a efektivnost výstavby a v souladu se stavebním zákonem, s energetickým zákonem a</w:t>
            </w:r>
            <w:r w:rsidR="002F1E7C">
              <w:rPr>
                <w:rFonts w:asciiTheme="minorHAnsi" w:hAnsiTheme="minorHAnsi"/>
                <w:sz w:val="22"/>
                <w:szCs w:val="22"/>
              </w:rPr>
              <w:t> </w:t>
            </w:r>
            <w:r w:rsidRPr="00124A31">
              <w:rPr>
                <w:rFonts w:asciiTheme="minorHAnsi" w:hAnsiTheme="minorHAnsi"/>
                <w:sz w:val="22"/>
                <w:szCs w:val="22"/>
              </w:rPr>
              <w:t>s</w:t>
            </w:r>
            <w:r w:rsidR="002F1E7C">
              <w:rPr>
                <w:rFonts w:asciiTheme="minorHAnsi" w:hAnsiTheme="minorHAnsi"/>
                <w:sz w:val="22"/>
                <w:szCs w:val="22"/>
              </w:rPr>
              <w:t> </w:t>
            </w:r>
            <w:r w:rsidRPr="00124A31">
              <w:rPr>
                <w:rFonts w:asciiTheme="minorHAnsi" w:hAnsiTheme="minorHAnsi"/>
                <w:sz w:val="22"/>
                <w:szCs w:val="22"/>
              </w:rPr>
              <w:t>prováděcími předpisy včetně notifikace a zdůvodnění negativních osvědčení Evropské komisi.</w:t>
            </w:r>
          </w:p>
          <w:p w14:paraId="7A8AFF80" w14:textId="77777777" w:rsidR="00710291" w:rsidRPr="006B443D" w:rsidRDefault="00124A31" w:rsidP="00124A31">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124A31">
              <w:rPr>
                <w:rFonts w:asciiTheme="minorHAnsi" w:hAnsiTheme="minorHAnsi"/>
                <w:sz w:val="22"/>
                <w:szCs w:val="22"/>
              </w:rPr>
              <w:t>Dodržovat správní lhůty a striktní soulad se SEK a NAP.</w:t>
            </w:r>
          </w:p>
        </w:tc>
      </w:tr>
      <w:tr w:rsidR="00710291" w:rsidRPr="006B443D" w14:paraId="614038BC" w14:textId="77777777" w:rsidTr="00710291">
        <w:tc>
          <w:tcPr>
            <w:tcW w:w="833" w:type="pct"/>
            <w:vAlign w:val="center"/>
          </w:tcPr>
          <w:p w14:paraId="52C6FB80"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36AB35EB" w14:textId="77777777" w:rsidR="00710291" w:rsidRPr="006B443D" w:rsidRDefault="00124A31" w:rsidP="00710291">
            <w:pPr>
              <w:spacing w:before="120" w:after="120"/>
              <w:jc w:val="both"/>
              <w:rPr>
                <w:rFonts w:asciiTheme="minorHAnsi" w:hAnsiTheme="minorHAnsi"/>
                <w:sz w:val="22"/>
                <w:szCs w:val="22"/>
              </w:rPr>
            </w:pPr>
            <w:r>
              <w:rPr>
                <w:rFonts w:asciiTheme="minorHAnsi" w:hAnsiTheme="minorHAnsi"/>
                <w:sz w:val="22"/>
                <w:szCs w:val="22"/>
              </w:rPr>
              <w:t>MPO</w:t>
            </w:r>
          </w:p>
        </w:tc>
      </w:tr>
      <w:tr w:rsidR="00710291" w:rsidRPr="006B443D" w14:paraId="65D081CA" w14:textId="77777777" w:rsidTr="00710291">
        <w:tc>
          <w:tcPr>
            <w:tcW w:w="833" w:type="pct"/>
            <w:vAlign w:val="center"/>
          </w:tcPr>
          <w:p w14:paraId="77CD5F42"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1CCC5473" w14:textId="77777777" w:rsidR="00710291" w:rsidRPr="006B443D" w:rsidRDefault="00124A31" w:rsidP="00710291">
            <w:pPr>
              <w:spacing w:before="120" w:after="120"/>
              <w:jc w:val="both"/>
              <w:rPr>
                <w:rFonts w:asciiTheme="minorHAnsi" w:hAnsiTheme="minorHAnsi"/>
                <w:sz w:val="22"/>
                <w:szCs w:val="22"/>
              </w:rPr>
            </w:pPr>
            <w:r>
              <w:rPr>
                <w:rFonts w:asciiTheme="minorHAnsi" w:hAnsiTheme="minorHAnsi"/>
                <w:sz w:val="22"/>
                <w:szCs w:val="22"/>
              </w:rPr>
              <w:t>průběžně</w:t>
            </w:r>
          </w:p>
        </w:tc>
      </w:tr>
      <w:tr w:rsidR="00710291" w:rsidRPr="006B443D" w14:paraId="4464C380" w14:textId="77777777" w:rsidTr="00710291">
        <w:tc>
          <w:tcPr>
            <w:tcW w:w="833" w:type="pct"/>
            <w:vAlign w:val="center"/>
          </w:tcPr>
          <w:p w14:paraId="0B0FFD33"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7F7146B2" w14:textId="77777777" w:rsidR="00124A31" w:rsidRPr="00124A31" w:rsidRDefault="00124A31" w:rsidP="00124A31">
            <w:pPr>
              <w:overflowPunct w:val="0"/>
              <w:autoSpaceDE w:val="0"/>
              <w:autoSpaceDN w:val="0"/>
              <w:adjustRightInd w:val="0"/>
              <w:spacing w:before="120" w:after="120"/>
              <w:jc w:val="both"/>
              <w:textAlignment w:val="baseline"/>
              <w:rPr>
                <w:rFonts w:asciiTheme="minorHAnsi" w:hAnsiTheme="minorHAnsi"/>
                <w:b/>
                <w:sz w:val="22"/>
                <w:szCs w:val="22"/>
              </w:rPr>
            </w:pPr>
            <w:r w:rsidRPr="00124A31">
              <w:rPr>
                <w:rFonts w:asciiTheme="minorHAnsi" w:hAnsiTheme="minorHAnsi"/>
                <w:b/>
                <w:sz w:val="22"/>
                <w:szCs w:val="22"/>
              </w:rPr>
              <w:t>Plněno průběžně</w:t>
            </w:r>
          </w:p>
          <w:p w14:paraId="37B20B35" w14:textId="1FE459E1" w:rsidR="00710291" w:rsidRPr="00D1501A" w:rsidRDefault="009D1D20" w:rsidP="009D1D20">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Dne 5. června 2015 b</w:t>
            </w:r>
            <w:r w:rsidR="00124A31" w:rsidRPr="00124A31">
              <w:rPr>
                <w:rFonts w:asciiTheme="minorHAnsi" w:hAnsiTheme="minorHAnsi"/>
                <w:sz w:val="22"/>
                <w:szCs w:val="22"/>
              </w:rPr>
              <w:t>yl vydán zákon č. 131/2015 Sb., kterým se mění zákon č. 458/2000 Sb., o</w:t>
            </w:r>
            <w:r w:rsidR="002F1E7C">
              <w:rPr>
                <w:rFonts w:asciiTheme="minorHAnsi" w:hAnsiTheme="minorHAnsi"/>
                <w:sz w:val="22"/>
                <w:szCs w:val="22"/>
              </w:rPr>
              <w:t> </w:t>
            </w:r>
            <w:r w:rsidR="00124A31" w:rsidRPr="00124A31">
              <w:rPr>
                <w:rFonts w:asciiTheme="minorHAnsi" w:hAnsiTheme="minorHAnsi"/>
                <w:sz w:val="22"/>
                <w:szCs w:val="22"/>
              </w:rPr>
              <w:t>podmínkách podnikání a o výkonu státní správy v energetických odvětvích, s</w:t>
            </w:r>
            <w:r w:rsidR="002F1E7C">
              <w:rPr>
                <w:rFonts w:asciiTheme="minorHAnsi" w:hAnsiTheme="minorHAnsi"/>
                <w:sz w:val="22"/>
                <w:szCs w:val="22"/>
              </w:rPr>
              <w:t> </w:t>
            </w:r>
            <w:r w:rsidR="00124A31" w:rsidRPr="00124A31">
              <w:rPr>
                <w:rFonts w:asciiTheme="minorHAnsi" w:hAnsiTheme="minorHAnsi"/>
                <w:sz w:val="22"/>
                <w:szCs w:val="22"/>
              </w:rPr>
              <w:t>účinností od 1. ledna 2016, v jehož rámci byla upravena příslušná ustanovení týkající se vydávání státních autorizací na výstavbu výrobny elektřiny (§ 30a až 30d). Státní autorizace na výstavbu vybraných plynových zařízení jsou vydávány v souladu s platným zněním zákona č. 458/2000 Sb., o podmínkách podnikání a</w:t>
            </w:r>
            <w:r w:rsidR="00016B84">
              <w:rPr>
                <w:rFonts w:asciiTheme="minorHAnsi" w:hAnsiTheme="minorHAnsi"/>
                <w:sz w:val="22"/>
                <w:szCs w:val="22"/>
              </w:rPr>
              <w:t> </w:t>
            </w:r>
            <w:r w:rsidR="00124A31" w:rsidRPr="00124A31">
              <w:rPr>
                <w:rFonts w:asciiTheme="minorHAnsi" w:hAnsiTheme="minorHAnsi"/>
                <w:sz w:val="22"/>
                <w:szCs w:val="22"/>
              </w:rPr>
              <w:t>o výkonu státní správy v energetických odvětvích (§ 67)</w:t>
            </w:r>
            <w:r w:rsidR="00016B84">
              <w:rPr>
                <w:rFonts w:asciiTheme="minorHAnsi" w:hAnsiTheme="minorHAnsi"/>
                <w:sz w:val="22"/>
                <w:szCs w:val="22"/>
              </w:rPr>
              <w:t xml:space="preserve"> a</w:t>
            </w:r>
            <w:r w:rsidR="00016B84" w:rsidRPr="00016B84">
              <w:rPr>
                <w:rFonts w:asciiTheme="minorHAnsi" w:hAnsiTheme="minorHAnsi"/>
                <w:sz w:val="22"/>
                <w:szCs w:val="22"/>
              </w:rPr>
              <w:t xml:space="preserve"> vyhlášky č.</w:t>
            </w:r>
            <w:r w:rsidR="00016B84">
              <w:rPr>
                <w:rFonts w:asciiTheme="minorHAnsi" w:hAnsiTheme="minorHAnsi"/>
                <w:sz w:val="22"/>
                <w:szCs w:val="22"/>
              </w:rPr>
              <w:t xml:space="preserve"> </w:t>
            </w:r>
            <w:r w:rsidR="00016B84" w:rsidRPr="00016B84">
              <w:rPr>
                <w:rFonts w:asciiTheme="minorHAnsi" w:hAnsiTheme="minorHAnsi"/>
                <w:sz w:val="22"/>
                <w:szCs w:val="22"/>
              </w:rPr>
              <w:t>452/2012 Sb.</w:t>
            </w:r>
            <w:r w:rsidR="00016B84">
              <w:rPr>
                <w:rFonts w:asciiTheme="minorHAnsi" w:hAnsiTheme="minorHAnsi"/>
                <w:sz w:val="22"/>
                <w:szCs w:val="22"/>
              </w:rPr>
              <w:t>,</w:t>
            </w:r>
            <w:r w:rsidR="00016B84" w:rsidRPr="00016B84">
              <w:rPr>
                <w:rFonts w:asciiTheme="minorHAnsi" w:hAnsiTheme="minorHAnsi"/>
                <w:sz w:val="22"/>
                <w:szCs w:val="22"/>
              </w:rPr>
              <w:t xml:space="preserve"> o náležitostech žádosti o udělení, změnu, prodloužení a zrušení autorizace na výstavbu vybraných plynových zařízení</w:t>
            </w:r>
            <w:r w:rsidR="00124A31" w:rsidRPr="00124A31">
              <w:rPr>
                <w:rFonts w:asciiTheme="minorHAnsi" w:hAnsiTheme="minorHAnsi"/>
                <w:sz w:val="22"/>
                <w:szCs w:val="22"/>
              </w:rPr>
              <w:t>.</w:t>
            </w:r>
          </w:p>
        </w:tc>
      </w:tr>
    </w:tbl>
    <w:p w14:paraId="68ACD7C5" w14:textId="77777777" w:rsidR="00710291" w:rsidRDefault="00710291">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710291" w:rsidRPr="006B443D" w14:paraId="4BA2EBD2" w14:textId="77777777" w:rsidTr="00710291">
        <w:tc>
          <w:tcPr>
            <w:tcW w:w="833" w:type="pct"/>
            <w:shd w:val="clear" w:color="auto" w:fill="DBE5F1" w:themeFill="accent1" w:themeFillTint="33"/>
            <w:vAlign w:val="center"/>
          </w:tcPr>
          <w:p w14:paraId="49DE8B57" w14:textId="77777777" w:rsidR="00710291" w:rsidRPr="006B443D" w:rsidRDefault="00710291" w:rsidP="00B2337B">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79945C39" w14:textId="77777777" w:rsidR="00710291" w:rsidRPr="006B443D" w:rsidRDefault="00124A31" w:rsidP="00B2337B">
            <w:pPr>
              <w:keepNext/>
              <w:spacing w:before="120" w:after="120"/>
              <w:jc w:val="both"/>
              <w:rPr>
                <w:rFonts w:asciiTheme="minorHAnsi" w:hAnsiTheme="minorHAnsi"/>
                <w:b/>
                <w:sz w:val="22"/>
                <w:szCs w:val="22"/>
              </w:rPr>
            </w:pPr>
            <w:r w:rsidRPr="00124A31">
              <w:rPr>
                <w:rFonts w:asciiTheme="minorHAnsi" w:hAnsiTheme="minorHAnsi"/>
                <w:b/>
                <w:sz w:val="22"/>
                <w:szCs w:val="22"/>
              </w:rPr>
              <w:t>Zajistit efektivní povolovací procesy</w:t>
            </w:r>
          </w:p>
        </w:tc>
      </w:tr>
      <w:tr w:rsidR="00710291" w:rsidRPr="006B443D" w14:paraId="15752209" w14:textId="77777777" w:rsidTr="00710291">
        <w:tc>
          <w:tcPr>
            <w:tcW w:w="833" w:type="pct"/>
            <w:vAlign w:val="center"/>
          </w:tcPr>
          <w:p w14:paraId="443DAD88"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0D3716DF" w14:textId="77777777" w:rsidR="00710291" w:rsidRPr="006B443D" w:rsidRDefault="00124A31" w:rsidP="00124A31">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124A31">
              <w:rPr>
                <w:rFonts w:asciiTheme="minorHAnsi" w:hAnsiTheme="minorHAnsi"/>
                <w:sz w:val="22"/>
                <w:szCs w:val="22"/>
              </w:rPr>
              <w:t>Dosáhnout minimalizace souhrnné doby povolovacích procesů energetických staveb sofistikovanou koordinací procesů a kontrolních mechanismů na MMR, MPO, MŽP tak, aby ve výsledku od data podání žádosti o ÚR k vydání stavebního povolení nebo jeho ekvivalentu uplynula co nejkratší doba.</w:t>
            </w:r>
          </w:p>
        </w:tc>
      </w:tr>
      <w:tr w:rsidR="00710291" w:rsidRPr="006B443D" w14:paraId="0ACEA10D" w14:textId="77777777" w:rsidTr="00710291">
        <w:tc>
          <w:tcPr>
            <w:tcW w:w="833" w:type="pct"/>
            <w:vAlign w:val="center"/>
          </w:tcPr>
          <w:p w14:paraId="49A76F83"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376DCFEE" w14:textId="77777777" w:rsidR="00710291" w:rsidRPr="006B443D" w:rsidRDefault="00124A31" w:rsidP="00710291">
            <w:pPr>
              <w:spacing w:before="120" w:after="120"/>
              <w:jc w:val="both"/>
              <w:rPr>
                <w:rFonts w:asciiTheme="minorHAnsi" w:hAnsiTheme="minorHAnsi"/>
                <w:sz w:val="22"/>
                <w:szCs w:val="22"/>
              </w:rPr>
            </w:pPr>
            <w:r w:rsidRPr="00124A31">
              <w:rPr>
                <w:rFonts w:asciiTheme="minorHAnsi" w:hAnsiTheme="minorHAnsi"/>
                <w:sz w:val="22"/>
                <w:szCs w:val="22"/>
              </w:rPr>
              <w:t>MMR, MPO, MŽP</w:t>
            </w:r>
          </w:p>
        </w:tc>
      </w:tr>
      <w:tr w:rsidR="00710291" w:rsidRPr="006B443D" w14:paraId="6858EBE1" w14:textId="77777777" w:rsidTr="00710291">
        <w:tc>
          <w:tcPr>
            <w:tcW w:w="833" w:type="pct"/>
            <w:vAlign w:val="center"/>
          </w:tcPr>
          <w:p w14:paraId="34051D0E"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433877CE" w14:textId="77777777" w:rsidR="00710291" w:rsidRPr="006B443D" w:rsidRDefault="00124A31" w:rsidP="00710291">
            <w:pPr>
              <w:spacing w:before="120" w:after="120"/>
              <w:jc w:val="both"/>
              <w:rPr>
                <w:rFonts w:asciiTheme="minorHAnsi" w:hAnsiTheme="minorHAnsi"/>
                <w:sz w:val="22"/>
                <w:szCs w:val="22"/>
              </w:rPr>
            </w:pPr>
            <w:r>
              <w:rPr>
                <w:rFonts w:asciiTheme="minorHAnsi" w:hAnsiTheme="minorHAnsi"/>
                <w:sz w:val="22"/>
                <w:szCs w:val="22"/>
              </w:rPr>
              <w:t>průběžně</w:t>
            </w:r>
          </w:p>
        </w:tc>
      </w:tr>
      <w:tr w:rsidR="00710291" w:rsidRPr="006B443D" w14:paraId="6DB369F8" w14:textId="77777777" w:rsidTr="00710291">
        <w:tc>
          <w:tcPr>
            <w:tcW w:w="833" w:type="pct"/>
            <w:vAlign w:val="center"/>
          </w:tcPr>
          <w:p w14:paraId="365E12F8"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520A9413" w14:textId="77777777" w:rsidR="00124A31" w:rsidRPr="00124A31" w:rsidRDefault="00124A31" w:rsidP="00124A31">
            <w:pPr>
              <w:overflowPunct w:val="0"/>
              <w:autoSpaceDE w:val="0"/>
              <w:autoSpaceDN w:val="0"/>
              <w:adjustRightInd w:val="0"/>
              <w:spacing w:before="120" w:after="120"/>
              <w:jc w:val="both"/>
              <w:textAlignment w:val="baseline"/>
              <w:rPr>
                <w:rFonts w:asciiTheme="minorHAnsi" w:hAnsiTheme="minorHAnsi"/>
                <w:b/>
                <w:sz w:val="22"/>
                <w:szCs w:val="22"/>
              </w:rPr>
            </w:pPr>
            <w:r w:rsidRPr="00124A31">
              <w:rPr>
                <w:rFonts w:asciiTheme="minorHAnsi" w:hAnsiTheme="minorHAnsi"/>
                <w:b/>
                <w:sz w:val="22"/>
                <w:szCs w:val="22"/>
              </w:rPr>
              <w:t>Plněno průběžně</w:t>
            </w:r>
          </w:p>
          <w:p w14:paraId="2CFF11E7" w14:textId="62B539A2" w:rsidR="00710291" w:rsidRDefault="00B048C4" w:rsidP="001D537F">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3E4E6B">
              <w:rPr>
                <w:rFonts w:asciiTheme="minorHAnsi" w:hAnsiTheme="minorHAnsi"/>
                <w:sz w:val="22"/>
                <w:szCs w:val="22"/>
              </w:rPr>
              <w:t>Dne 31. července</w:t>
            </w:r>
            <w:r w:rsidR="009D1D20">
              <w:rPr>
                <w:rFonts w:asciiTheme="minorHAnsi" w:hAnsiTheme="minorHAnsi"/>
                <w:sz w:val="22"/>
                <w:szCs w:val="22"/>
              </w:rPr>
              <w:t xml:space="preserve"> 2017</w:t>
            </w:r>
            <w:r w:rsidRPr="003E4E6B">
              <w:rPr>
                <w:rFonts w:asciiTheme="minorHAnsi" w:hAnsiTheme="minorHAnsi"/>
                <w:sz w:val="22"/>
                <w:szCs w:val="22"/>
              </w:rPr>
              <w:t xml:space="preserve"> byl vydán zákon č. 225/2017 Sb., kterým se mění zákon č. 183/2006 Sb., o územním plánování a stavebním řádu (stavební zákon), ve znění pozdějších předpisů, a další související zákony, s účinností od 1. ledna 2018. </w:t>
            </w:r>
            <w:r w:rsidRPr="008712FD">
              <w:rPr>
                <w:rFonts w:asciiTheme="minorHAnsi" w:hAnsiTheme="minorHAnsi"/>
                <w:sz w:val="22"/>
                <w:szCs w:val="22"/>
              </w:rPr>
              <w:t>V rámci této novely došlo k úpravě</w:t>
            </w:r>
            <w:r w:rsidR="00F67838" w:rsidRPr="008712FD">
              <w:rPr>
                <w:rFonts w:asciiTheme="minorHAnsi" w:hAnsiTheme="minorHAnsi"/>
                <w:sz w:val="22"/>
                <w:szCs w:val="22"/>
              </w:rPr>
              <w:t xml:space="preserve"> stavebního zákona </w:t>
            </w:r>
            <w:r w:rsidRPr="008712FD">
              <w:rPr>
                <w:rFonts w:asciiTheme="minorHAnsi" w:hAnsiTheme="minorHAnsi"/>
                <w:sz w:val="22"/>
                <w:szCs w:val="22"/>
              </w:rPr>
              <w:t>a</w:t>
            </w:r>
            <w:r w:rsidR="00F67838" w:rsidRPr="008712FD">
              <w:rPr>
                <w:rFonts w:asciiTheme="minorHAnsi" w:hAnsiTheme="minorHAnsi"/>
                <w:sz w:val="22"/>
                <w:szCs w:val="22"/>
              </w:rPr>
              <w:t xml:space="preserve"> 4</w:t>
            </w:r>
            <w:r w:rsidRPr="008712FD">
              <w:rPr>
                <w:rFonts w:asciiTheme="minorHAnsi" w:hAnsiTheme="minorHAnsi"/>
                <w:sz w:val="22"/>
                <w:szCs w:val="22"/>
              </w:rPr>
              <w:t>4</w:t>
            </w:r>
            <w:r w:rsidR="00F67838" w:rsidRPr="008712FD">
              <w:rPr>
                <w:rFonts w:asciiTheme="minorHAnsi" w:hAnsiTheme="minorHAnsi"/>
                <w:sz w:val="22"/>
                <w:szCs w:val="22"/>
              </w:rPr>
              <w:t xml:space="preserve"> souvisejících zákonů (zákon o posuzování vlivů na životní prostředí, zákon o urychlení výstavby dopravní, vodní a energetické infrastruktury a dalších předpisů).</w:t>
            </w:r>
            <w:r w:rsidR="00BE5313" w:rsidRPr="00B71D4F" w:rsidDel="00BE5313">
              <w:rPr>
                <w:rFonts w:asciiTheme="minorHAnsi" w:hAnsiTheme="minorHAnsi"/>
                <w:sz w:val="22"/>
                <w:szCs w:val="22"/>
              </w:rPr>
              <w:t xml:space="preserve"> </w:t>
            </w:r>
            <w:r w:rsidR="00BE5313" w:rsidRPr="00B71D4F">
              <w:rPr>
                <w:rFonts w:asciiTheme="minorHAnsi" w:hAnsiTheme="minorHAnsi"/>
                <w:sz w:val="22"/>
                <w:szCs w:val="22"/>
              </w:rPr>
              <w:t>N</w:t>
            </w:r>
            <w:r w:rsidR="00F67838" w:rsidRPr="00B71D4F">
              <w:rPr>
                <w:rFonts w:asciiTheme="minorHAnsi" w:hAnsiTheme="minorHAnsi"/>
                <w:sz w:val="22"/>
                <w:szCs w:val="22"/>
              </w:rPr>
              <w:t xml:space="preserve">a úseku územního plánování </w:t>
            </w:r>
            <w:r w:rsidR="00BE5313" w:rsidRPr="00061085">
              <w:rPr>
                <w:rFonts w:asciiTheme="minorHAnsi" w:hAnsiTheme="minorHAnsi"/>
                <w:sz w:val="22"/>
                <w:szCs w:val="22"/>
              </w:rPr>
              <w:t xml:space="preserve">byly </w:t>
            </w:r>
            <w:r w:rsidR="00F67838" w:rsidRPr="00061085">
              <w:rPr>
                <w:rFonts w:asciiTheme="minorHAnsi" w:hAnsiTheme="minorHAnsi"/>
                <w:sz w:val="22"/>
                <w:szCs w:val="22"/>
              </w:rPr>
              <w:t>uprave</w:t>
            </w:r>
            <w:r w:rsidR="00BE5313" w:rsidRPr="00061085">
              <w:rPr>
                <w:rFonts w:asciiTheme="minorHAnsi" w:hAnsiTheme="minorHAnsi"/>
                <w:sz w:val="22"/>
                <w:szCs w:val="22"/>
              </w:rPr>
              <w:t>ny</w:t>
            </w:r>
            <w:r w:rsidR="00F67838" w:rsidRPr="00061085">
              <w:rPr>
                <w:rFonts w:asciiTheme="minorHAnsi" w:hAnsiTheme="minorHAnsi"/>
                <w:sz w:val="22"/>
                <w:szCs w:val="22"/>
              </w:rPr>
              <w:t xml:space="preserve"> postupy vedoucí ke zkrácení procesů pořizování aktualizací a</w:t>
            </w:r>
            <w:r w:rsidR="002F1E7C" w:rsidRPr="00D90346">
              <w:rPr>
                <w:rFonts w:asciiTheme="minorHAnsi" w:hAnsiTheme="minorHAnsi"/>
                <w:sz w:val="22"/>
                <w:szCs w:val="22"/>
              </w:rPr>
              <w:t> </w:t>
            </w:r>
            <w:r w:rsidR="00F67838" w:rsidRPr="00D90346">
              <w:rPr>
                <w:rFonts w:asciiTheme="minorHAnsi" w:hAnsiTheme="minorHAnsi"/>
                <w:sz w:val="22"/>
                <w:szCs w:val="22"/>
              </w:rPr>
              <w:t xml:space="preserve">změn územně plánovacích dokumentací v případech, kdy nebudou vyžadovány varianty řešení. V těchto případech bude aktualizaci </w:t>
            </w:r>
            <w:r w:rsidR="00BE5313" w:rsidRPr="00D90346">
              <w:rPr>
                <w:rFonts w:asciiTheme="minorHAnsi" w:hAnsiTheme="minorHAnsi"/>
                <w:sz w:val="22"/>
                <w:szCs w:val="22"/>
              </w:rPr>
              <w:t>zásad územního rozvoje</w:t>
            </w:r>
            <w:r w:rsidR="00F67838" w:rsidRPr="00D90346">
              <w:rPr>
                <w:rFonts w:asciiTheme="minorHAnsi" w:hAnsiTheme="minorHAnsi"/>
                <w:sz w:val="22"/>
                <w:szCs w:val="22"/>
              </w:rPr>
              <w:t xml:space="preserve"> nebo změnu územního plánu možné pořídit a vydat zkráceným postupem</w:t>
            </w:r>
            <w:r w:rsidR="00BE5313" w:rsidRPr="003E4E6B">
              <w:rPr>
                <w:rFonts w:asciiTheme="minorHAnsi" w:hAnsiTheme="minorHAnsi"/>
                <w:sz w:val="22"/>
                <w:szCs w:val="22"/>
              </w:rPr>
              <w:t>, a to</w:t>
            </w:r>
            <w:r w:rsidR="00F67838" w:rsidRPr="003E4E6B">
              <w:rPr>
                <w:rFonts w:asciiTheme="minorHAnsi" w:hAnsiTheme="minorHAnsi"/>
                <w:sz w:val="22"/>
                <w:szCs w:val="22"/>
              </w:rPr>
              <w:t xml:space="preserve"> při zachování všech práv dotčených osob. Postup aktualizace zásad územního rozvoje i změny územního plánu </w:t>
            </w:r>
            <w:r w:rsidR="00BE5313" w:rsidRPr="003E4E6B">
              <w:rPr>
                <w:rFonts w:asciiTheme="minorHAnsi" w:hAnsiTheme="minorHAnsi"/>
                <w:sz w:val="22"/>
                <w:szCs w:val="22"/>
              </w:rPr>
              <w:t xml:space="preserve">tedy </w:t>
            </w:r>
            <w:r w:rsidR="00F67838" w:rsidRPr="003E4E6B">
              <w:rPr>
                <w:rFonts w:asciiTheme="minorHAnsi" w:hAnsiTheme="minorHAnsi"/>
                <w:sz w:val="22"/>
                <w:szCs w:val="22"/>
              </w:rPr>
              <w:t xml:space="preserve">bude v těchto případech maximálně úsporný. </w:t>
            </w:r>
            <w:r w:rsidR="00BB7C25" w:rsidRPr="003E4E6B">
              <w:rPr>
                <w:rFonts w:asciiTheme="minorHAnsi" w:hAnsiTheme="minorHAnsi"/>
                <w:sz w:val="22"/>
                <w:szCs w:val="22"/>
              </w:rPr>
              <w:t xml:space="preserve">Součástí změn je také zkrácení lhůt pro přezkum </w:t>
            </w:r>
            <w:r w:rsidR="00BB7C25" w:rsidRPr="003E4E6B">
              <w:rPr>
                <w:rFonts w:asciiTheme="minorHAnsi" w:hAnsiTheme="minorHAnsi"/>
                <w:sz w:val="22"/>
                <w:szCs w:val="22"/>
              </w:rPr>
              <w:lastRenderedPageBreak/>
              <w:t>opatření obecné povahy podle správního řádu i soudního řádu správního na jeden rok.</w:t>
            </w:r>
            <w:r w:rsidR="00BB7C25" w:rsidRPr="003E4E6B">
              <w:rPr>
                <w:rFonts w:asciiTheme="minorHAnsi" w:hAnsiTheme="minorHAnsi" w:cs="Arial"/>
                <w:sz w:val="22"/>
                <w:szCs w:val="22"/>
              </w:rPr>
              <w:t xml:space="preserve"> Další změnou je umožnění obcím vymezit přímo </w:t>
            </w:r>
            <w:r w:rsidR="00BB7C25" w:rsidRPr="003E4E6B">
              <w:rPr>
                <w:rStyle w:val="Siln"/>
                <w:rFonts w:asciiTheme="minorHAnsi" w:hAnsiTheme="minorHAnsi" w:cs="Arial"/>
                <w:b w:val="0"/>
                <w:sz w:val="22"/>
                <w:szCs w:val="22"/>
              </w:rPr>
              <w:t>část územního plánu s prvky regulačního plánu</w:t>
            </w:r>
            <w:r w:rsidR="00BB7C25" w:rsidRPr="003E4E6B">
              <w:rPr>
                <w:rFonts w:asciiTheme="minorHAnsi" w:hAnsiTheme="minorHAnsi" w:cs="Arial"/>
                <w:sz w:val="22"/>
                <w:szCs w:val="22"/>
              </w:rPr>
              <w:t xml:space="preserve">. </w:t>
            </w:r>
            <w:r w:rsidRPr="003E4E6B">
              <w:rPr>
                <w:rFonts w:asciiTheme="minorHAnsi" w:hAnsiTheme="minorHAnsi"/>
                <w:sz w:val="22"/>
                <w:szCs w:val="22"/>
              </w:rPr>
              <w:t>Na úseku územního rozhodování a stavebního řádu dochází ke</w:t>
            </w:r>
            <w:r w:rsidR="00F67838" w:rsidRPr="003E4E6B">
              <w:rPr>
                <w:rFonts w:asciiTheme="minorHAnsi" w:hAnsiTheme="minorHAnsi"/>
                <w:sz w:val="22"/>
                <w:szCs w:val="22"/>
              </w:rPr>
              <w:t xml:space="preserve"> spojení územního a stavebního řízení do jednoho společného řízení s</w:t>
            </w:r>
            <w:r w:rsidR="009E067F">
              <w:rPr>
                <w:rFonts w:asciiTheme="minorHAnsi" w:hAnsiTheme="minorHAnsi"/>
                <w:sz w:val="22"/>
                <w:szCs w:val="22"/>
              </w:rPr>
              <w:t> </w:t>
            </w:r>
            <w:r w:rsidR="00F67838" w:rsidRPr="003E4E6B">
              <w:rPr>
                <w:rFonts w:asciiTheme="minorHAnsi" w:hAnsiTheme="minorHAnsi"/>
                <w:sz w:val="22"/>
                <w:szCs w:val="22"/>
              </w:rPr>
              <w:t>vydáváním jednoho společného povolení, a to jak u jednotliv</w:t>
            </w:r>
            <w:r w:rsidR="00BE5313" w:rsidRPr="003E4E6B">
              <w:rPr>
                <w:rFonts w:asciiTheme="minorHAnsi" w:hAnsiTheme="minorHAnsi"/>
                <w:sz w:val="22"/>
                <w:szCs w:val="22"/>
              </w:rPr>
              <w:t>ých</w:t>
            </w:r>
            <w:r w:rsidR="00F67838" w:rsidRPr="003E4E6B">
              <w:rPr>
                <w:rFonts w:asciiTheme="minorHAnsi" w:hAnsiTheme="minorHAnsi"/>
                <w:sz w:val="22"/>
                <w:szCs w:val="22"/>
              </w:rPr>
              <w:t xml:space="preserve"> stav</w:t>
            </w:r>
            <w:r w:rsidR="00BE5313" w:rsidRPr="003E4E6B">
              <w:rPr>
                <w:rFonts w:asciiTheme="minorHAnsi" w:hAnsiTheme="minorHAnsi"/>
                <w:sz w:val="22"/>
                <w:szCs w:val="22"/>
              </w:rPr>
              <w:t>e</w:t>
            </w:r>
            <w:r w:rsidR="00F67838" w:rsidRPr="003E4E6B">
              <w:rPr>
                <w:rFonts w:asciiTheme="minorHAnsi" w:hAnsiTheme="minorHAnsi"/>
                <w:sz w:val="22"/>
                <w:szCs w:val="22"/>
              </w:rPr>
              <w:t xml:space="preserve">b, tak </w:t>
            </w:r>
            <w:r w:rsidR="00BE5313" w:rsidRPr="003E4E6B">
              <w:rPr>
                <w:rFonts w:asciiTheme="minorHAnsi" w:hAnsiTheme="minorHAnsi"/>
                <w:sz w:val="22"/>
                <w:szCs w:val="22"/>
              </w:rPr>
              <w:t>také</w:t>
            </w:r>
            <w:r w:rsidR="00F67838" w:rsidRPr="003E4E6B">
              <w:rPr>
                <w:rFonts w:asciiTheme="minorHAnsi" w:hAnsiTheme="minorHAnsi"/>
                <w:sz w:val="22"/>
                <w:szCs w:val="22"/>
              </w:rPr>
              <w:t xml:space="preserve"> u souboru staveb (i u vybraných staveb speciálních a jiných)</w:t>
            </w:r>
            <w:r w:rsidR="00BE5313" w:rsidRPr="003E4E6B">
              <w:rPr>
                <w:rFonts w:asciiTheme="minorHAnsi" w:hAnsiTheme="minorHAnsi"/>
                <w:sz w:val="22"/>
                <w:szCs w:val="22"/>
              </w:rPr>
              <w:t>.</w:t>
            </w:r>
            <w:r w:rsidR="00BE5313">
              <w:t xml:space="preserve"> </w:t>
            </w:r>
            <w:r w:rsidR="00BE5313" w:rsidRPr="003E4E6B">
              <w:rPr>
                <w:rFonts w:asciiTheme="minorHAnsi" w:hAnsiTheme="minorHAnsi"/>
                <w:sz w:val="22"/>
                <w:szCs w:val="22"/>
              </w:rPr>
              <w:t>Proces posuzování vlivů na životní prostředí bude možné integrovat do společného řízení, popřípadě do samostatného územního řízení.</w:t>
            </w:r>
          </w:p>
          <w:p w14:paraId="6DC65B8F" w14:textId="6EA8DBD0" w:rsidR="009E067F" w:rsidRPr="00D1501A" w:rsidRDefault="009E067F" w:rsidP="009E067F">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Dne 16</w:t>
            </w:r>
            <w:r w:rsidRPr="00521CD2">
              <w:rPr>
                <w:rFonts w:asciiTheme="minorHAnsi" w:hAnsiTheme="minorHAnsi"/>
                <w:sz w:val="22"/>
                <w:szCs w:val="22"/>
              </w:rPr>
              <w:t xml:space="preserve">. </w:t>
            </w:r>
            <w:r>
              <w:rPr>
                <w:rFonts w:asciiTheme="minorHAnsi" w:hAnsiTheme="minorHAnsi"/>
                <w:sz w:val="22"/>
                <w:szCs w:val="22"/>
              </w:rPr>
              <w:t>srpna</w:t>
            </w:r>
            <w:r w:rsidRPr="00521CD2">
              <w:rPr>
                <w:rFonts w:asciiTheme="minorHAnsi" w:hAnsiTheme="minorHAnsi"/>
                <w:sz w:val="22"/>
                <w:szCs w:val="22"/>
              </w:rPr>
              <w:t xml:space="preserve"> 2018 </w:t>
            </w:r>
            <w:r>
              <w:rPr>
                <w:rFonts w:asciiTheme="minorHAnsi" w:hAnsiTheme="minorHAnsi"/>
                <w:sz w:val="22"/>
                <w:szCs w:val="22"/>
              </w:rPr>
              <w:t xml:space="preserve">byl vydán </w:t>
            </w:r>
            <w:r w:rsidRPr="00521CD2">
              <w:rPr>
                <w:rFonts w:asciiTheme="minorHAnsi" w:hAnsiTheme="minorHAnsi"/>
                <w:sz w:val="22"/>
                <w:szCs w:val="22"/>
              </w:rPr>
              <w:t>zákon č. 169/2018 Sb.</w:t>
            </w:r>
            <w:r>
              <w:rPr>
                <w:rFonts w:asciiTheme="minorHAnsi" w:hAnsiTheme="minorHAnsi"/>
                <w:sz w:val="22"/>
                <w:szCs w:val="22"/>
              </w:rPr>
              <w:t>,</w:t>
            </w:r>
            <w:r w:rsidRPr="00521CD2">
              <w:rPr>
                <w:rFonts w:asciiTheme="minorHAnsi" w:hAnsiTheme="minorHAnsi"/>
                <w:sz w:val="22"/>
                <w:szCs w:val="22"/>
              </w:rPr>
              <w:t xml:space="preserve"> kterým se mění zákon č.</w:t>
            </w:r>
            <w:r>
              <w:rPr>
                <w:rFonts w:asciiTheme="minorHAnsi" w:hAnsiTheme="minorHAnsi"/>
                <w:sz w:val="22"/>
                <w:szCs w:val="22"/>
              </w:rPr>
              <w:t xml:space="preserve"> </w:t>
            </w:r>
            <w:r w:rsidRPr="00521CD2">
              <w:rPr>
                <w:rFonts w:asciiTheme="minorHAnsi" w:hAnsiTheme="minorHAnsi"/>
                <w:sz w:val="22"/>
                <w:szCs w:val="22"/>
              </w:rPr>
              <w:t>416/2009 Sb., o urychlení výstavby dopravní, vodní a energetické infrastruktury a infrastruktury elektronických komunikac</w:t>
            </w:r>
            <w:r>
              <w:rPr>
                <w:rFonts w:asciiTheme="minorHAnsi" w:hAnsiTheme="minorHAnsi"/>
                <w:sz w:val="22"/>
                <w:szCs w:val="22"/>
              </w:rPr>
              <w:t>í, ve znění pozdějších předpisů. Touto novelou došlo např.</w:t>
            </w:r>
            <w:r w:rsidRPr="00521CD2">
              <w:rPr>
                <w:rFonts w:asciiTheme="minorHAnsi" w:hAnsiTheme="minorHAnsi"/>
                <w:sz w:val="22"/>
                <w:szCs w:val="22"/>
              </w:rPr>
              <w:t xml:space="preserve"> ke zjednodušení doručování v rámci </w:t>
            </w:r>
            <w:r>
              <w:rPr>
                <w:rFonts w:asciiTheme="minorHAnsi" w:hAnsiTheme="minorHAnsi"/>
                <w:sz w:val="22"/>
                <w:szCs w:val="22"/>
              </w:rPr>
              <w:t>řízení podle stavebního zákona, ke změnám v přípravě staveb strategické dopravní infrastruktury a také významnému zjednodušení v případě infrastruktury elektronických komunikací. V současné době se připravuje další novela tohoto zákona s cílem dosáhnout dalšího zjednodušení povolovacích procesů.</w:t>
            </w:r>
          </w:p>
        </w:tc>
      </w:tr>
    </w:tbl>
    <w:p w14:paraId="16F53406" w14:textId="77777777" w:rsidR="00710291" w:rsidRDefault="00710291">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710291" w:rsidRPr="006B443D" w14:paraId="1853882C" w14:textId="77777777" w:rsidTr="00710291">
        <w:tc>
          <w:tcPr>
            <w:tcW w:w="833" w:type="pct"/>
            <w:shd w:val="clear" w:color="auto" w:fill="DBE5F1" w:themeFill="accent1" w:themeFillTint="33"/>
            <w:vAlign w:val="center"/>
          </w:tcPr>
          <w:p w14:paraId="57D9976E" w14:textId="77777777" w:rsidR="00710291" w:rsidRPr="006B443D" w:rsidRDefault="00710291" w:rsidP="00B2337B">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51933B37" w14:textId="77777777" w:rsidR="00710291" w:rsidRPr="006B443D" w:rsidRDefault="00124A31" w:rsidP="00B2337B">
            <w:pPr>
              <w:keepNext/>
              <w:spacing w:before="120" w:after="120"/>
              <w:jc w:val="both"/>
              <w:rPr>
                <w:rFonts w:asciiTheme="minorHAnsi" w:hAnsiTheme="minorHAnsi"/>
                <w:b/>
                <w:sz w:val="22"/>
                <w:szCs w:val="22"/>
              </w:rPr>
            </w:pPr>
            <w:r w:rsidRPr="00124A31">
              <w:rPr>
                <w:rFonts w:asciiTheme="minorHAnsi" w:hAnsiTheme="minorHAnsi"/>
                <w:b/>
                <w:sz w:val="22"/>
                <w:szCs w:val="22"/>
              </w:rPr>
              <w:t>Stanovovat povinné bezpečnostní standardy dodávek plynu a zásob jaderného paliva</w:t>
            </w:r>
          </w:p>
        </w:tc>
      </w:tr>
      <w:tr w:rsidR="00710291" w:rsidRPr="006B443D" w14:paraId="4396915A" w14:textId="77777777" w:rsidTr="00710291">
        <w:tc>
          <w:tcPr>
            <w:tcW w:w="833" w:type="pct"/>
            <w:vAlign w:val="center"/>
          </w:tcPr>
          <w:p w14:paraId="579BB5A2"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0B93E3CB" w14:textId="77777777" w:rsidR="00710291" w:rsidRPr="006B443D" w:rsidRDefault="00124A31" w:rsidP="00124A31">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124A31">
              <w:rPr>
                <w:rFonts w:asciiTheme="minorHAnsi" w:hAnsiTheme="minorHAnsi"/>
                <w:sz w:val="22"/>
                <w:szCs w:val="22"/>
              </w:rPr>
              <w:t>Stanovovat povinné bezpečnostní standardy dodávek plynu a zásob jaderného paliva v souladu s platnou legislativou přiměřeně k očekávané situaci v oblasti bezpečnosti dodávek a mezinárodní situaci.</w:t>
            </w:r>
          </w:p>
        </w:tc>
      </w:tr>
      <w:tr w:rsidR="00710291" w:rsidRPr="006B443D" w14:paraId="74155588" w14:textId="77777777" w:rsidTr="00710291">
        <w:tc>
          <w:tcPr>
            <w:tcW w:w="833" w:type="pct"/>
            <w:vAlign w:val="center"/>
          </w:tcPr>
          <w:p w14:paraId="025302CA"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459EB1BC" w14:textId="77777777" w:rsidR="00710291" w:rsidRPr="006B443D" w:rsidRDefault="00124A31" w:rsidP="00710291">
            <w:pPr>
              <w:spacing w:before="120" w:after="120"/>
              <w:jc w:val="both"/>
              <w:rPr>
                <w:rFonts w:asciiTheme="minorHAnsi" w:hAnsiTheme="minorHAnsi"/>
                <w:sz w:val="22"/>
                <w:szCs w:val="22"/>
              </w:rPr>
            </w:pPr>
            <w:r>
              <w:rPr>
                <w:rFonts w:asciiTheme="minorHAnsi" w:hAnsiTheme="minorHAnsi"/>
                <w:sz w:val="22"/>
                <w:szCs w:val="22"/>
              </w:rPr>
              <w:t>MPO</w:t>
            </w:r>
          </w:p>
        </w:tc>
      </w:tr>
      <w:tr w:rsidR="00710291" w:rsidRPr="006B443D" w14:paraId="15621628" w14:textId="77777777" w:rsidTr="00710291">
        <w:tc>
          <w:tcPr>
            <w:tcW w:w="833" w:type="pct"/>
            <w:vAlign w:val="center"/>
          </w:tcPr>
          <w:p w14:paraId="717F4A40"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3B505F3A" w14:textId="77777777" w:rsidR="00710291" w:rsidRPr="006B443D" w:rsidRDefault="00124A31" w:rsidP="00710291">
            <w:pPr>
              <w:spacing w:before="120" w:after="120"/>
              <w:jc w:val="both"/>
              <w:rPr>
                <w:rFonts w:asciiTheme="minorHAnsi" w:hAnsiTheme="minorHAnsi"/>
                <w:sz w:val="22"/>
                <w:szCs w:val="22"/>
              </w:rPr>
            </w:pPr>
            <w:r>
              <w:rPr>
                <w:rFonts w:asciiTheme="minorHAnsi" w:hAnsiTheme="minorHAnsi"/>
                <w:sz w:val="22"/>
                <w:szCs w:val="22"/>
              </w:rPr>
              <w:t>průběžně</w:t>
            </w:r>
          </w:p>
        </w:tc>
      </w:tr>
      <w:tr w:rsidR="00710291" w:rsidRPr="006B443D" w14:paraId="52EF1B4F" w14:textId="77777777" w:rsidTr="00710291">
        <w:tc>
          <w:tcPr>
            <w:tcW w:w="833" w:type="pct"/>
            <w:vAlign w:val="center"/>
          </w:tcPr>
          <w:p w14:paraId="6EF8A717"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542EFDCA" w14:textId="77777777" w:rsidR="00124A31" w:rsidRPr="001D537F" w:rsidRDefault="00124A31" w:rsidP="00124A31">
            <w:pPr>
              <w:overflowPunct w:val="0"/>
              <w:autoSpaceDE w:val="0"/>
              <w:autoSpaceDN w:val="0"/>
              <w:adjustRightInd w:val="0"/>
              <w:spacing w:before="120" w:after="120"/>
              <w:jc w:val="both"/>
              <w:textAlignment w:val="baseline"/>
              <w:rPr>
                <w:rFonts w:asciiTheme="minorHAnsi" w:hAnsiTheme="minorHAnsi"/>
                <w:b/>
                <w:sz w:val="22"/>
                <w:szCs w:val="22"/>
              </w:rPr>
            </w:pPr>
            <w:r w:rsidRPr="001D537F">
              <w:rPr>
                <w:rFonts w:asciiTheme="minorHAnsi" w:hAnsiTheme="minorHAnsi"/>
                <w:b/>
                <w:sz w:val="22"/>
                <w:szCs w:val="22"/>
              </w:rPr>
              <w:t>Plněno průběžně</w:t>
            </w:r>
          </w:p>
          <w:p w14:paraId="29CAFF88" w14:textId="6ED3BBC3" w:rsidR="00124A31" w:rsidRPr="001D537F" w:rsidRDefault="00124A31" w:rsidP="00986FB6">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1D537F">
              <w:rPr>
                <w:rFonts w:asciiTheme="minorHAnsi" w:hAnsiTheme="minorHAnsi"/>
                <w:sz w:val="22"/>
                <w:szCs w:val="22"/>
              </w:rPr>
              <w:t xml:space="preserve">Bezpečnostní standardy dodávek plynu jsou stanoveny </w:t>
            </w:r>
            <w:r w:rsidR="00CB67E1">
              <w:rPr>
                <w:rFonts w:asciiTheme="minorHAnsi" w:hAnsiTheme="minorHAnsi"/>
                <w:sz w:val="22"/>
                <w:szCs w:val="22"/>
              </w:rPr>
              <w:t>n</w:t>
            </w:r>
            <w:r w:rsidRPr="001D537F">
              <w:rPr>
                <w:rFonts w:asciiTheme="minorHAnsi" w:hAnsiTheme="minorHAnsi"/>
                <w:sz w:val="22"/>
                <w:szCs w:val="22"/>
              </w:rPr>
              <w:t xml:space="preserve">ařízením Evropského parlamentu a Rady č. </w:t>
            </w:r>
            <w:r w:rsidR="00CB67E1">
              <w:rPr>
                <w:rFonts w:asciiTheme="minorHAnsi" w:hAnsiTheme="minorHAnsi"/>
                <w:sz w:val="22"/>
                <w:szCs w:val="22"/>
              </w:rPr>
              <w:t>2017/1938</w:t>
            </w:r>
            <w:r w:rsidRPr="001D537F">
              <w:rPr>
                <w:rFonts w:asciiTheme="minorHAnsi" w:hAnsiTheme="minorHAnsi"/>
                <w:sz w:val="22"/>
                <w:szCs w:val="22"/>
              </w:rPr>
              <w:t xml:space="preserve"> a v rámci českého právního řádu</w:t>
            </w:r>
            <w:r w:rsidR="003B1273">
              <w:rPr>
                <w:rFonts w:asciiTheme="minorHAnsi" w:hAnsiTheme="minorHAnsi"/>
                <w:sz w:val="22"/>
                <w:szCs w:val="22"/>
              </w:rPr>
              <w:t xml:space="preserve"> potom </w:t>
            </w:r>
            <w:r w:rsidRPr="001D537F">
              <w:rPr>
                <w:rFonts w:asciiTheme="minorHAnsi" w:hAnsiTheme="minorHAnsi"/>
                <w:sz w:val="22"/>
                <w:szCs w:val="22"/>
              </w:rPr>
              <w:t>zákonem č.</w:t>
            </w:r>
            <w:r w:rsidR="002F1E7C" w:rsidRPr="001D537F">
              <w:rPr>
                <w:rFonts w:asciiTheme="minorHAnsi" w:hAnsiTheme="minorHAnsi"/>
                <w:sz w:val="22"/>
                <w:szCs w:val="22"/>
              </w:rPr>
              <w:t> </w:t>
            </w:r>
            <w:r w:rsidRPr="001D537F">
              <w:rPr>
                <w:rFonts w:asciiTheme="minorHAnsi" w:hAnsiTheme="minorHAnsi"/>
                <w:sz w:val="22"/>
                <w:szCs w:val="22"/>
              </w:rPr>
              <w:t>458/2000 Sb., o podmínkách podnikání a o výkonu státní správy v</w:t>
            </w:r>
            <w:r w:rsidR="002F1E7C" w:rsidRPr="001D537F">
              <w:rPr>
                <w:rFonts w:asciiTheme="minorHAnsi" w:hAnsiTheme="minorHAnsi"/>
                <w:sz w:val="22"/>
                <w:szCs w:val="22"/>
              </w:rPr>
              <w:t> </w:t>
            </w:r>
            <w:r w:rsidRPr="001D537F">
              <w:rPr>
                <w:rFonts w:asciiTheme="minorHAnsi" w:hAnsiTheme="minorHAnsi"/>
                <w:sz w:val="22"/>
                <w:szCs w:val="22"/>
              </w:rPr>
              <w:t>energetických odvětvích a</w:t>
            </w:r>
            <w:r w:rsidR="003B1273">
              <w:rPr>
                <w:rFonts w:asciiTheme="minorHAnsi" w:hAnsiTheme="minorHAnsi"/>
                <w:sz w:val="22"/>
                <w:szCs w:val="22"/>
              </w:rPr>
              <w:t xml:space="preserve"> také</w:t>
            </w:r>
            <w:r w:rsidRPr="001D537F">
              <w:rPr>
                <w:rFonts w:asciiTheme="minorHAnsi" w:hAnsiTheme="minorHAnsi"/>
                <w:sz w:val="22"/>
                <w:szCs w:val="22"/>
              </w:rPr>
              <w:t xml:space="preserve"> vyhláškou č. 344/2012 Sb., o stavu nouze v</w:t>
            </w:r>
            <w:r w:rsidR="002F1E7C" w:rsidRPr="001D537F">
              <w:rPr>
                <w:rFonts w:asciiTheme="minorHAnsi" w:hAnsiTheme="minorHAnsi"/>
                <w:sz w:val="22"/>
                <w:szCs w:val="22"/>
              </w:rPr>
              <w:t> </w:t>
            </w:r>
            <w:r w:rsidRPr="001D537F">
              <w:rPr>
                <w:rFonts w:asciiTheme="minorHAnsi" w:hAnsiTheme="minorHAnsi"/>
                <w:sz w:val="22"/>
                <w:szCs w:val="22"/>
              </w:rPr>
              <w:t>plynárenství a o způsobu zajištění bezpečnostního standardu dodávky plynu, ve znění vyhlášky č. 215/2015 Sb.</w:t>
            </w:r>
            <w:r w:rsidR="00986FB6">
              <w:t xml:space="preserve"> </w:t>
            </w:r>
            <w:r w:rsidR="00986FB6">
              <w:rPr>
                <w:rFonts w:asciiTheme="minorHAnsi" w:hAnsiTheme="minorHAnsi"/>
                <w:sz w:val="22"/>
                <w:szCs w:val="22"/>
              </w:rPr>
              <w:t>Zajiště</w:t>
            </w:r>
            <w:r w:rsidR="00986FB6" w:rsidRPr="00986FB6">
              <w:rPr>
                <w:rFonts w:asciiTheme="minorHAnsi" w:hAnsiTheme="minorHAnsi"/>
                <w:sz w:val="22"/>
                <w:szCs w:val="22"/>
              </w:rPr>
              <w:t xml:space="preserve">ní bezpečnostního standardu dodávek plynu pro chráněné zákazníky </w:t>
            </w:r>
            <w:r w:rsidR="00C3123F">
              <w:rPr>
                <w:rFonts w:asciiTheme="minorHAnsi" w:hAnsiTheme="minorHAnsi"/>
                <w:sz w:val="22"/>
                <w:szCs w:val="22"/>
              </w:rPr>
              <w:t>kontroluje</w:t>
            </w:r>
            <w:r w:rsidR="00986FB6" w:rsidRPr="00986FB6">
              <w:rPr>
                <w:rFonts w:asciiTheme="minorHAnsi" w:hAnsiTheme="minorHAnsi"/>
                <w:sz w:val="22"/>
                <w:szCs w:val="22"/>
              </w:rPr>
              <w:t xml:space="preserve"> E</w:t>
            </w:r>
            <w:r w:rsidR="00C3123F">
              <w:rPr>
                <w:rFonts w:asciiTheme="minorHAnsi" w:hAnsiTheme="minorHAnsi"/>
                <w:sz w:val="22"/>
                <w:szCs w:val="22"/>
              </w:rPr>
              <w:t>RÚ</w:t>
            </w:r>
            <w:r w:rsidR="00986FB6" w:rsidRPr="00986FB6">
              <w:rPr>
                <w:rFonts w:asciiTheme="minorHAnsi" w:hAnsiTheme="minorHAnsi"/>
                <w:sz w:val="22"/>
                <w:szCs w:val="22"/>
              </w:rPr>
              <w:t>.</w:t>
            </w:r>
          </w:p>
          <w:p w14:paraId="6BB9D361" w14:textId="2C92D224" w:rsidR="00710291" w:rsidRPr="001D537F" w:rsidRDefault="001F6F29" w:rsidP="00C90694">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1D537F">
              <w:rPr>
                <w:rFonts w:asciiTheme="minorHAnsi" w:hAnsiTheme="minorHAnsi"/>
                <w:sz w:val="22"/>
                <w:szCs w:val="22"/>
              </w:rPr>
              <w:t xml:space="preserve">Plnění </w:t>
            </w:r>
            <w:r w:rsidR="00016B84" w:rsidRPr="001D537F">
              <w:rPr>
                <w:rFonts w:asciiTheme="minorHAnsi" w:hAnsiTheme="minorHAnsi"/>
                <w:sz w:val="22"/>
                <w:szCs w:val="22"/>
              </w:rPr>
              <w:t xml:space="preserve">nástroje v oblasti zásob jaderného paliva </w:t>
            </w:r>
            <w:r w:rsidRPr="001D537F">
              <w:rPr>
                <w:rFonts w:asciiTheme="minorHAnsi" w:hAnsiTheme="minorHAnsi"/>
                <w:sz w:val="22"/>
                <w:szCs w:val="22"/>
              </w:rPr>
              <w:t>úzce souvisí s opatřením vymezeným v Národním akčním plánu rozvoje jaderné energetiky v ČR,</w:t>
            </w:r>
            <w:r w:rsidR="00007470">
              <w:rPr>
                <w:rFonts w:asciiTheme="minorHAnsi" w:hAnsiTheme="minorHAnsi"/>
                <w:sz w:val="22"/>
                <w:szCs w:val="22"/>
              </w:rPr>
              <w:t xml:space="preserve"> na jehož základě byla zpracována analýza možných postupů zajištění zásob jaderného paliva v rozsahu stanoveném ve Státní energetické koncepci ČR. V návaznosti na tuto analýzu byl</w:t>
            </w:r>
            <w:r w:rsidR="00814D04">
              <w:rPr>
                <w:rFonts w:asciiTheme="minorHAnsi" w:hAnsiTheme="minorHAnsi"/>
                <w:sz w:val="22"/>
                <w:szCs w:val="22"/>
              </w:rPr>
              <w:t>a</w:t>
            </w:r>
            <w:r w:rsidR="00007470">
              <w:rPr>
                <w:rFonts w:asciiTheme="minorHAnsi" w:hAnsiTheme="minorHAnsi"/>
                <w:sz w:val="22"/>
                <w:szCs w:val="22"/>
              </w:rPr>
              <w:t xml:space="preserve"> připraven</w:t>
            </w:r>
            <w:r w:rsidR="00814D04">
              <w:rPr>
                <w:rFonts w:asciiTheme="minorHAnsi" w:hAnsiTheme="minorHAnsi"/>
                <w:sz w:val="22"/>
                <w:szCs w:val="22"/>
              </w:rPr>
              <w:t>a</w:t>
            </w:r>
            <w:r w:rsidR="00007470">
              <w:rPr>
                <w:rFonts w:asciiTheme="minorHAnsi" w:hAnsiTheme="minorHAnsi"/>
                <w:sz w:val="22"/>
                <w:szCs w:val="22"/>
              </w:rPr>
              <w:t xml:space="preserve"> </w:t>
            </w:r>
            <w:r w:rsidR="00814D04">
              <w:rPr>
                <w:rFonts w:asciiTheme="minorHAnsi" w:hAnsiTheme="minorHAnsi"/>
                <w:sz w:val="22"/>
                <w:szCs w:val="22"/>
              </w:rPr>
              <w:t>metodika zajištění zásob jaderného paliva, která bude předložena ke schválení Stálému výboru pro jadernou energetiku a jejíž charakter bude doporučující</w:t>
            </w:r>
            <w:r w:rsidR="00C90694">
              <w:rPr>
                <w:rFonts w:asciiTheme="minorHAnsi" w:hAnsiTheme="minorHAnsi"/>
                <w:sz w:val="22"/>
                <w:szCs w:val="22"/>
              </w:rPr>
              <w:t>.</w:t>
            </w:r>
          </w:p>
        </w:tc>
      </w:tr>
    </w:tbl>
    <w:p w14:paraId="39F79545" w14:textId="77777777" w:rsidR="00710291" w:rsidRDefault="00710291">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710291" w:rsidRPr="006B443D" w14:paraId="26D76419" w14:textId="77777777" w:rsidTr="00710291">
        <w:tc>
          <w:tcPr>
            <w:tcW w:w="833" w:type="pct"/>
            <w:shd w:val="clear" w:color="auto" w:fill="DBE5F1" w:themeFill="accent1" w:themeFillTint="33"/>
            <w:vAlign w:val="center"/>
          </w:tcPr>
          <w:p w14:paraId="6A263D4C" w14:textId="77777777" w:rsidR="00710291" w:rsidRPr="006B443D" w:rsidRDefault="00710291" w:rsidP="00B2337B">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580A8684" w14:textId="77777777" w:rsidR="00710291" w:rsidRPr="006B443D" w:rsidRDefault="00124A31" w:rsidP="00B2337B">
            <w:pPr>
              <w:keepNext/>
              <w:spacing w:before="120" w:after="120"/>
              <w:jc w:val="both"/>
              <w:rPr>
                <w:rFonts w:asciiTheme="minorHAnsi" w:hAnsiTheme="minorHAnsi"/>
                <w:b/>
                <w:sz w:val="22"/>
                <w:szCs w:val="22"/>
              </w:rPr>
            </w:pPr>
            <w:r w:rsidRPr="00124A31">
              <w:rPr>
                <w:rFonts w:asciiTheme="minorHAnsi" w:hAnsiTheme="minorHAnsi"/>
                <w:b/>
                <w:sz w:val="22"/>
                <w:szCs w:val="22"/>
              </w:rPr>
              <w:t>Stanovovat technické parametry a standardy účinnosti konečných spotřebičů</w:t>
            </w:r>
          </w:p>
        </w:tc>
      </w:tr>
      <w:tr w:rsidR="00710291" w:rsidRPr="006B443D" w14:paraId="14D24985" w14:textId="77777777" w:rsidTr="009B705C">
        <w:trPr>
          <w:cantSplit/>
        </w:trPr>
        <w:tc>
          <w:tcPr>
            <w:tcW w:w="833" w:type="pct"/>
            <w:vAlign w:val="center"/>
          </w:tcPr>
          <w:p w14:paraId="3027ED5F"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06CA2AA2" w14:textId="7441D950" w:rsidR="00710291" w:rsidRPr="006B443D" w:rsidRDefault="00124A31" w:rsidP="002F1E7C">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124A31">
              <w:rPr>
                <w:rFonts w:asciiTheme="minorHAnsi" w:hAnsiTheme="minorHAnsi"/>
                <w:sz w:val="22"/>
                <w:szCs w:val="22"/>
              </w:rPr>
              <w:t>Dosáhnout významných indukovaných úspor v konečné spotřebě elektřiny a</w:t>
            </w:r>
            <w:r w:rsidR="002F1E7C">
              <w:rPr>
                <w:rFonts w:asciiTheme="minorHAnsi" w:hAnsiTheme="minorHAnsi"/>
                <w:sz w:val="22"/>
                <w:szCs w:val="22"/>
              </w:rPr>
              <w:t> </w:t>
            </w:r>
            <w:r w:rsidRPr="00124A31">
              <w:rPr>
                <w:rFonts w:asciiTheme="minorHAnsi" w:hAnsiTheme="minorHAnsi"/>
                <w:sz w:val="22"/>
                <w:szCs w:val="22"/>
              </w:rPr>
              <w:t>tepla.</w:t>
            </w:r>
          </w:p>
        </w:tc>
      </w:tr>
      <w:tr w:rsidR="00710291" w:rsidRPr="006B443D" w14:paraId="6B1D2CED" w14:textId="77777777" w:rsidTr="00710291">
        <w:tc>
          <w:tcPr>
            <w:tcW w:w="833" w:type="pct"/>
            <w:vAlign w:val="center"/>
          </w:tcPr>
          <w:p w14:paraId="625B1D6D"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lastRenderedPageBreak/>
              <w:t>Gesce</w:t>
            </w:r>
          </w:p>
        </w:tc>
        <w:tc>
          <w:tcPr>
            <w:tcW w:w="4167" w:type="pct"/>
            <w:vAlign w:val="center"/>
          </w:tcPr>
          <w:p w14:paraId="5C84BB95" w14:textId="77777777" w:rsidR="00710291" w:rsidRPr="006B443D" w:rsidRDefault="00124A31" w:rsidP="00710291">
            <w:pPr>
              <w:spacing w:before="120" w:after="120"/>
              <w:jc w:val="both"/>
              <w:rPr>
                <w:rFonts w:asciiTheme="minorHAnsi" w:hAnsiTheme="minorHAnsi"/>
                <w:sz w:val="22"/>
                <w:szCs w:val="22"/>
              </w:rPr>
            </w:pPr>
            <w:r>
              <w:rPr>
                <w:rFonts w:asciiTheme="minorHAnsi" w:hAnsiTheme="minorHAnsi"/>
                <w:sz w:val="22"/>
                <w:szCs w:val="22"/>
              </w:rPr>
              <w:t>MPO, MŽP</w:t>
            </w:r>
          </w:p>
        </w:tc>
      </w:tr>
      <w:tr w:rsidR="00710291" w:rsidRPr="006B443D" w14:paraId="6B4A2780" w14:textId="77777777" w:rsidTr="00710291">
        <w:tc>
          <w:tcPr>
            <w:tcW w:w="833" w:type="pct"/>
            <w:vAlign w:val="center"/>
          </w:tcPr>
          <w:p w14:paraId="59516C38"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23B17E61" w14:textId="150E1E35" w:rsidR="00710291" w:rsidRPr="006B443D" w:rsidRDefault="00F10564" w:rsidP="00710291">
            <w:pPr>
              <w:spacing w:before="120" w:after="120"/>
              <w:jc w:val="both"/>
              <w:rPr>
                <w:rFonts w:asciiTheme="minorHAnsi" w:hAnsiTheme="minorHAnsi"/>
                <w:sz w:val="22"/>
                <w:szCs w:val="22"/>
              </w:rPr>
            </w:pPr>
            <w:r>
              <w:rPr>
                <w:rFonts w:asciiTheme="minorHAnsi" w:hAnsiTheme="minorHAnsi"/>
                <w:sz w:val="22"/>
                <w:szCs w:val="22"/>
              </w:rPr>
              <w:t>průběžně</w:t>
            </w:r>
          </w:p>
        </w:tc>
      </w:tr>
      <w:tr w:rsidR="00710291" w:rsidRPr="006B443D" w14:paraId="1CC25F7A" w14:textId="77777777" w:rsidTr="00323AE1">
        <w:tc>
          <w:tcPr>
            <w:tcW w:w="833" w:type="pct"/>
            <w:vAlign w:val="center"/>
          </w:tcPr>
          <w:p w14:paraId="16DA58A8" w14:textId="77777777" w:rsidR="00710291" w:rsidRPr="006B443D" w:rsidRDefault="00710291" w:rsidP="00323AE1">
            <w:pPr>
              <w:widowControl w:val="0"/>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5187E1F2" w14:textId="77777777" w:rsidR="00124A31" w:rsidRPr="00124A31" w:rsidRDefault="00124A31" w:rsidP="00323AE1">
            <w:pPr>
              <w:widowControl w:val="0"/>
              <w:overflowPunct w:val="0"/>
              <w:autoSpaceDE w:val="0"/>
              <w:autoSpaceDN w:val="0"/>
              <w:adjustRightInd w:val="0"/>
              <w:spacing w:before="120" w:after="120"/>
              <w:jc w:val="both"/>
              <w:textAlignment w:val="baseline"/>
              <w:rPr>
                <w:rFonts w:asciiTheme="minorHAnsi" w:hAnsiTheme="minorHAnsi"/>
                <w:b/>
                <w:sz w:val="22"/>
                <w:szCs w:val="22"/>
              </w:rPr>
            </w:pPr>
            <w:r w:rsidRPr="00124A31">
              <w:rPr>
                <w:rFonts w:asciiTheme="minorHAnsi" w:hAnsiTheme="minorHAnsi"/>
                <w:b/>
                <w:sz w:val="22"/>
                <w:szCs w:val="22"/>
              </w:rPr>
              <w:t>Plněno průběžně</w:t>
            </w:r>
          </w:p>
          <w:p w14:paraId="64F3F49A" w14:textId="77777777" w:rsidR="00124A31" w:rsidRDefault="00124A31" w:rsidP="00323AE1">
            <w:pPr>
              <w:pStyle w:val="Odstavecseseznamem"/>
              <w:widowControl w:val="0"/>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124A31">
              <w:rPr>
                <w:rFonts w:asciiTheme="minorHAnsi" w:hAnsiTheme="minorHAnsi"/>
                <w:sz w:val="22"/>
                <w:szCs w:val="22"/>
              </w:rPr>
              <w:t>Technické parametry a standardy účinnosti konečných spotřebičů jsou stanovovány na základě přímo použitelných právních předpisů EU</w:t>
            </w:r>
            <w:r>
              <w:rPr>
                <w:rFonts w:asciiTheme="minorHAnsi" w:hAnsiTheme="minorHAnsi"/>
                <w:sz w:val="22"/>
                <w:szCs w:val="22"/>
              </w:rPr>
              <w:t>,</w:t>
            </w:r>
            <w:r w:rsidRPr="00124A31">
              <w:rPr>
                <w:rFonts w:asciiTheme="minorHAnsi" w:hAnsiTheme="minorHAnsi"/>
                <w:sz w:val="22"/>
                <w:szCs w:val="22"/>
              </w:rPr>
              <w:t xml:space="preserve"> jejichž implementace je zajištěna.</w:t>
            </w:r>
          </w:p>
          <w:p w14:paraId="1C1FCCAC" w14:textId="0AFBAE64" w:rsidR="00693A68" w:rsidRDefault="00693A68" w:rsidP="00323AE1">
            <w:pPr>
              <w:pStyle w:val="Odstavecseseznamem"/>
              <w:widowControl w:val="0"/>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 xml:space="preserve">Nařízení Evropské komise č. 2015/1188 ze dne 28. dubna 2015 stanovuje s účinností ode dne 1. ledna 2018 požadavky na </w:t>
            </w:r>
            <w:proofErr w:type="spellStart"/>
            <w:r>
              <w:rPr>
                <w:rFonts w:asciiTheme="minorHAnsi" w:hAnsiTheme="minorHAnsi"/>
                <w:sz w:val="22"/>
                <w:szCs w:val="22"/>
              </w:rPr>
              <w:t>ekodesign</w:t>
            </w:r>
            <w:proofErr w:type="spellEnd"/>
            <w:r>
              <w:rPr>
                <w:rFonts w:asciiTheme="minorHAnsi" w:hAnsiTheme="minorHAnsi"/>
                <w:sz w:val="22"/>
                <w:szCs w:val="22"/>
              </w:rPr>
              <w:t xml:space="preserve"> pro l</w:t>
            </w:r>
            <w:r w:rsidRPr="00654D43">
              <w:rPr>
                <w:rFonts w:asciiTheme="minorHAnsi" w:hAnsiTheme="minorHAnsi"/>
                <w:sz w:val="22"/>
                <w:szCs w:val="22"/>
              </w:rPr>
              <w:t xml:space="preserve">okální topidla </w:t>
            </w:r>
            <w:r>
              <w:rPr>
                <w:rFonts w:asciiTheme="minorHAnsi" w:hAnsiTheme="minorHAnsi"/>
                <w:sz w:val="22"/>
                <w:szCs w:val="22"/>
              </w:rPr>
              <w:t>využívající</w:t>
            </w:r>
            <w:r w:rsidRPr="00654D43">
              <w:rPr>
                <w:rFonts w:asciiTheme="minorHAnsi" w:hAnsiTheme="minorHAnsi"/>
                <w:sz w:val="22"/>
                <w:szCs w:val="22"/>
              </w:rPr>
              <w:t xml:space="preserve"> plynná a kapalná paliva </w:t>
            </w:r>
            <w:r>
              <w:rPr>
                <w:rFonts w:asciiTheme="minorHAnsi" w:hAnsiTheme="minorHAnsi"/>
                <w:sz w:val="22"/>
                <w:szCs w:val="22"/>
              </w:rPr>
              <w:t>a</w:t>
            </w:r>
            <w:r w:rsidRPr="00654D43">
              <w:rPr>
                <w:rFonts w:asciiTheme="minorHAnsi" w:hAnsiTheme="minorHAnsi"/>
                <w:sz w:val="22"/>
                <w:szCs w:val="22"/>
              </w:rPr>
              <w:t xml:space="preserve"> elekt</w:t>
            </w:r>
            <w:r>
              <w:rPr>
                <w:rFonts w:asciiTheme="minorHAnsi" w:hAnsiTheme="minorHAnsi"/>
                <w:sz w:val="22"/>
                <w:szCs w:val="22"/>
              </w:rPr>
              <w:t>rickou energii</w:t>
            </w:r>
            <w:r w:rsidRPr="00654D43">
              <w:rPr>
                <w:rFonts w:asciiTheme="minorHAnsi" w:hAnsiTheme="minorHAnsi"/>
                <w:sz w:val="22"/>
                <w:szCs w:val="22"/>
              </w:rPr>
              <w:t xml:space="preserve">. Díky těmto požadavkům a požadavkům na uvádění spotřeby energie na energetických štítcích lokálních topidel by mělo dojít k roční úspoře energie v EU ve výši 157 PJ (3,8 </w:t>
            </w:r>
            <w:proofErr w:type="spellStart"/>
            <w:r w:rsidRPr="00654D43">
              <w:rPr>
                <w:rFonts w:asciiTheme="minorHAnsi" w:hAnsiTheme="minorHAnsi"/>
                <w:sz w:val="22"/>
                <w:szCs w:val="22"/>
              </w:rPr>
              <w:t>Mtoe</w:t>
            </w:r>
            <w:proofErr w:type="spellEnd"/>
            <w:r w:rsidRPr="00654D43">
              <w:rPr>
                <w:rFonts w:asciiTheme="minorHAnsi" w:hAnsiTheme="minorHAnsi"/>
                <w:sz w:val="22"/>
                <w:szCs w:val="22"/>
              </w:rPr>
              <w:t>) do roku 2020.</w:t>
            </w:r>
          </w:p>
          <w:p w14:paraId="2282CC39" w14:textId="4B5BCEF8" w:rsidR="00654D43" w:rsidRPr="00693A68" w:rsidRDefault="00654D43" w:rsidP="00323AE1">
            <w:pPr>
              <w:pStyle w:val="Odstavecseseznamem"/>
              <w:widowControl w:val="0"/>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693A68">
              <w:rPr>
                <w:rFonts w:asciiTheme="minorHAnsi" w:hAnsiTheme="minorHAnsi"/>
                <w:sz w:val="22"/>
                <w:szCs w:val="22"/>
              </w:rPr>
              <w:t xml:space="preserve">Nařízení Evropské komise č. 2016/2281 ze dne 30. listopadu 2016 stanovuje s účinností ode dne 1. </w:t>
            </w:r>
            <w:r w:rsidRPr="009178F5">
              <w:rPr>
                <w:rFonts w:asciiTheme="minorHAnsi" w:hAnsiTheme="minorHAnsi"/>
                <w:sz w:val="22"/>
                <w:szCs w:val="22"/>
              </w:rPr>
              <w:t xml:space="preserve">ledna 2018 požadavky na </w:t>
            </w:r>
            <w:proofErr w:type="spellStart"/>
            <w:r w:rsidRPr="009178F5">
              <w:rPr>
                <w:rFonts w:asciiTheme="minorHAnsi" w:hAnsiTheme="minorHAnsi"/>
                <w:sz w:val="22"/>
                <w:szCs w:val="22"/>
              </w:rPr>
              <w:t>ekodesign</w:t>
            </w:r>
            <w:proofErr w:type="spellEnd"/>
            <w:r w:rsidRPr="009178F5">
              <w:rPr>
                <w:rFonts w:asciiTheme="minorHAnsi" w:hAnsiTheme="minorHAnsi"/>
                <w:sz w:val="22"/>
                <w:szCs w:val="22"/>
              </w:rPr>
              <w:t xml:space="preserve"> ohřívačů vzduchu, chladicích zařízení, ventilátorových konvektorů a vysokoteplotních procesních chladičů, na základě kterých by mělo dojít k úspoře energie v </w:t>
            </w:r>
            <w:r w:rsidRPr="00B0505A">
              <w:rPr>
                <w:rFonts w:asciiTheme="minorHAnsi" w:hAnsiTheme="minorHAnsi"/>
                <w:sz w:val="22"/>
                <w:szCs w:val="22"/>
              </w:rPr>
              <w:t xml:space="preserve">EU ve výši 203 PJ (5 </w:t>
            </w:r>
            <w:proofErr w:type="spellStart"/>
            <w:r w:rsidRPr="00B0505A">
              <w:rPr>
                <w:rFonts w:asciiTheme="minorHAnsi" w:hAnsiTheme="minorHAnsi"/>
                <w:sz w:val="22"/>
                <w:szCs w:val="22"/>
              </w:rPr>
              <w:t>Mtoe</w:t>
            </w:r>
            <w:proofErr w:type="spellEnd"/>
            <w:r w:rsidRPr="00B0505A">
              <w:rPr>
                <w:rFonts w:asciiTheme="minorHAnsi" w:hAnsiTheme="minorHAnsi"/>
                <w:sz w:val="22"/>
                <w:szCs w:val="22"/>
              </w:rPr>
              <w:t>) ročně do roku 2030.</w:t>
            </w:r>
          </w:p>
          <w:p w14:paraId="7DFBA32A" w14:textId="45EDF54B" w:rsidR="00124A31" w:rsidRPr="00124A31" w:rsidRDefault="00681D15" w:rsidP="00323AE1">
            <w:pPr>
              <w:pStyle w:val="Odstavecseseznamem"/>
              <w:widowControl w:val="0"/>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Dne 14. listopadu 2016 b</w:t>
            </w:r>
            <w:r w:rsidR="00DE24ED">
              <w:rPr>
                <w:rFonts w:asciiTheme="minorHAnsi" w:hAnsiTheme="minorHAnsi"/>
                <w:sz w:val="22"/>
                <w:szCs w:val="22"/>
              </w:rPr>
              <w:t>yl vydán zákon č. 369/2016 Sb., kterým se mění</w:t>
            </w:r>
            <w:r w:rsidR="00124A31" w:rsidRPr="00124A31">
              <w:rPr>
                <w:rFonts w:asciiTheme="minorHAnsi" w:hAnsiTheme="minorHAnsi"/>
                <w:sz w:val="22"/>
                <w:szCs w:val="22"/>
              </w:rPr>
              <w:t xml:space="preserve"> zákon č. 201/2012 Sb., o ochraně ovzduší,</w:t>
            </w:r>
            <w:r w:rsidR="00DE24ED">
              <w:rPr>
                <w:rFonts w:asciiTheme="minorHAnsi" w:hAnsiTheme="minorHAnsi"/>
                <w:sz w:val="22"/>
                <w:szCs w:val="22"/>
              </w:rPr>
              <w:t xml:space="preserve"> ve znění pozdějších předpisů</w:t>
            </w:r>
            <w:r>
              <w:rPr>
                <w:rFonts w:asciiTheme="minorHAnsi" w:hAnsiTheme="minorHAnsi"/>
                <w:sz w:val="22"/>
                <w:szCs w:val="22"/>
              </w:rPr>
              <w:t>, jímž</w:t>
            </w:r>
            <w:r w:rsidR="00124A31" w:rsidRPr="00124A31">
              <w:rPr>
                <w:rFonts w:asciiTheme="minorHAnsi" w:hAnsiTheme="minorHAnsi"/>
                <w:sz w:val="22"/>
                <w:szCs w:val="22"/>
              </w:rPr>
              <w:t xml:space="preserve"> byly zpřísněny požadavky na maximální produkci emisí znečišťujících látek u topidel na pevná paliva</w:t>
            </w:r>
            <w:r>
              <w:rPr>
                <w:rFonts w:asciiTheme="minorHAnsi" w:hAnsiTheme="minorHAnsi"/>
                <w:sz w:val="22"/>
                <w:szCs w:val="22"/>
              </w:rPr>
              <w:t xml:space="preserve"> uváděných na trh</w:t>
            </w:r>
            <w:r w:rsidR="00124A31" w:rsidRPr="00124A31">
              <w:rPr>
                <w:rFonts w:asciiTheme="minorHAnsi" w:hAnsiTheme="minorHAnsi"/>
                <w:sz w:val="22"/>
                <w:szCs w:val="22"/>
              </w:rPr>
              <w:t>, které vstoupí v platnost dne 1. ledna 2020. Tyto parametry odpovídají nařízení Evropské komise č. 2015/1185, kterým se provádí směrnice Evropského parlamentu a Rady č. 2009/125/ES, pokud jde o</w:t>
            </w:r>
            <w:r w:rsidR="00E2556D">
              <w:rPr>
                <w:rFonts w:asciiTheme="minorHAnsi" w:hAnsiTheme="minorHAnsi"/>
                <w:sz w:val="22"/>
                <w:szCs w:val="22"/>
              </w:rPr>
              <w:t> </w:t>
            </w:r>
            <w:r w:rsidR="00124A31" w:rsidRPr="00124A31">
              <w:rPr>
                <w:rFonts w:asciiTheme="minorHAnsi" w:hAnsiTheme="minorHAnsi"/>
                <w:sz w:val="22"/>
                <w:szCs w:val="22"/>
              </w:rPr>
              <w:t xml:space="preserve">požadavky na </w:t>
            </w:r>
            <w:proofErr w:type="spellStart"/>
            <w:r w:rsidR="00124A31" w:rsidRPr="00124A31">
              <w:rPr>
                <w:rFonts w:asciiTheme="minorHAnsi" w:hAnsiTheme="minorHAnsi"/>
                <w:sz w:val="22"/>
                <w:szCs w:val="22"/>
              </w:rPr>
              <w:t>ekodesign</w:t>
            </w:r>
            <w:proofErr w:type="spellEnd"/>
            <w:r w:rsidR="00124A31" w:rsidRPr="00124A31">
              <w:rPr>
                <w:rFonts w:asciiTheme="minorHAnsi" w:hAnsiTheme="minorHAnsi"/>
                <w:sz w:val="22"/>
                <w:szCs w:val="22"/>
              </w:rPr>
              <w:t xml:space="preserve"> lokálních topidel na tuhá paliva. Novelou zákona tak došlo k urychlení závaznosti těchto parametrů, a to o dva roky oproti termínu nařízení (2020 vs. 2022). K novelizaci zákona došlo na základě opatření DB9 Národního programu snižování emisí.</w:t>
            </w:r>
          </w:p>
          <w:p w14:paraId="39AF7FB0" w14:textId="6FB33678" w:rsidR="00B87399" w:rsidRPr="00D1501A" w:rsidRDefault="00124A31" w:rsidP="00323AE1">
            <w:pPr>
              <w:pStyle w:val="Odstavecseseznamem"/>
              <w:widowControl w:val="0"/>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124A31">
              <w:rPr>
                <w:rFonts w:asciiTheme="minorHAnsi" w:hAnsiTheme="minorHAnsi"/>
                <w:sz w:val="22"/>
                <w:szCs w:val="22"/>
              </w:rPr>
              <w:t>MŽP dále vyhlásilo v červenci 2015 celorepublikov</w:t>
            </w:r>
            <w:r w:rsidR="00681D15">
              <w:rPr>
                <w:rFonts w:asciiTheme="minorHAnsi" w:hAnsiTheme="minorHAnsi"/>
                <w:sz w:val="22"/>
                <w:szCs w:val="22"/>
              </w:rPr>
              <w:t>ý dotační program</w:t>
            </w:r>
            <w:r w:rsidRPr="00124A31">
              <w:rPr>
                <w:rFonts w:asciiTheme="minorHAnsi" w:hAnsiTheme="minorHAnsi"/>
                <w:sz w:val="22"/>
                <w:szCs w:val="22"/>
              </w:rPr>
              <w:t xml:space="preserve"> v rámci Operačního programu Životní prostředí - opatření 2.1. Dotace jsou určeny na výměnu starých kotlů na tuhá paliva za moderní nízko</w:t>
            </w:r>
            <w:r>
              <w:rPr>
                <w:rFonts w:asciiTheme="minorHAnsi" w:hAnsiTheme="minorHAnsi"/>
                <w:sz w:val="22"/>
                <w:szCs w:val="22"/>
              </w:rPr>
              <w:t>-</w:t>
            </w:r>
            <w:r w:rsidRPr="00124A31">
              <w:rPr>
                <w:rFonts w:asciiTheme="minorHAnsi" w:hAnsiTheme="minorHAnsi"/>
                <w:sz w:val="22"/>
                <w:szCs w:val="22"/>
              </w:rPr>
              <w:t xml:space="preserve">emisní kotle na biomasu, uhlí, nebo jejich kombinaci, </w:t>
            </w:r>
            <w:r w:rsidR="00681D15">
              <w:rPr>
                <w:rFonts w:asciiTheme="minorHAnsi" w:hAnsiTheme="minorHAnsi"/>
                <w:sz w:val="22"/>
                <w:szCs w:val="22"/>
              </w:rPr>
              <w:t xml:space="preserve">dále </w:t>
            </w:r>
            <w:r w:rsidRPr="00124A31">
              <w:rPr>
                <w:rFonts w:asciiTheme="minorHAnsi" w:hAnsiTheme="minorHAnsi"/>
                <w:sz w:val="22"/>
                <w:szCs w:val="22"/>
              </w:rPr>
              <w:t>za tepelné čerpadlo, plynový kotel případně v</w:t>
            </w:r>
            <w:r w:rsidR="002F1E7C">
              <w:rPr>
                <w:rFonts w:asciiTheme="minorHAnsi" w:hAnsiTheme="minorHAnsi"/>
                <w:sz w:val="22"/>
                <w:szCs w:val="22"/>
              </w:rPr>
              <w:t> </w:t>
            </w:r>
            <w:r w:rsidRPr="00124A31">
              <w:rPr>
                <w:rFonts w:asciiTheme="minorHAnsi" w:hAnsiTheme="minorHAnsi"/>
                <w:sz w:val="22"/>
                <w:szCs w:val="22"/>
              </w:rPr>
              <w:t>kombinaci se solárním systémem. Cílem dotačního programu je do roku 2020 vyměnit minimálně 80 tisíc kotlů v celé ČR</w:t>
            </w:r>
            <w:r w:rsidR="00681D15" w:rsidRPr="00681D15">
              <w:rPr>
                <w:rFonts w:asciiTheme="minorHAnsi" w:hAnsiTheme="minorHAnsi"/>
                <w:sz w:val="22"/>
                <w:szCs w:val="22"/>
              </w:rPr>
              <w:t xml:space="preserve">, přičemž nově instalované zdroje musí splňovat požadavky </w:t>
            </w:r>
            <w:proofErr w:type="spellStart"/>
            <w:r w:rsidR="00681D15" w:rsidRPr="00681D15">
              <w:rPr>
                <w:rFonts w:asciiTheme="minorHAnsi" w:hAnsiTheme="minorHAnsi"/>
                <w:sz w:val="22"/>
                <w:szCs w:val="22"/>
              </w:rPr>
              <w:t>ekodesignu</w:t>
            </w:r>
            <w:proofErr w:type="spellEnd"/>
            <w:r w:rsidR="00681D15" w:rsidRPr="00681D15">
              <w:rPr>
                <w:rFonts w:asciiTheme="minorHAnsi" w:hAnsiTheme="minorHAnsi"/>
                <w:sz w:val="22"/>
                <w:szCs w:val="22"/>
              </w:rPr>
              <w:t xml:space="preserve"> a odhadovaná úspora energie bude 2,8 </w:t>
            </w:r>
            <w:r w:rsidR="00681D15">
              <w:rPr>
                <w:rFonts w:asciiTheme="minorHAnsi" w:hAnsiTheme="minorHAnsi"/>
                <w:sz w:val="22"/>
                <w:szCs w:val="22"/>
              </w:rPr>
              <w:t>až</w:t>
            </w:r>
            <w:r w:rsidR="00681D15" w:rsidRPr="00681D15">
              <w:rPr>
                <w:rFonts w:asciiTheme="minorHAnsi" w:hAnsiTheme="minorHAnsi"/>
                <w:sz w:val="22"/>
                <w:szCs w:val="22"/>
              </w:rPr>
              <w:t xml:space="preserve"> 3 PJ ročně</w:t>
            </w:r>
            <w:r w:rsidRPr="00124A31">
              <w:rPr>
                <w:rFonts w:asciiTheme="minorHAnsi" w:hAnsiTheme="minorHAnsi"/>
                <w:sz w:val="22"/>
                <w:szCs w:val="22"/>
              </w:rPr>
              <w:t>.</w:t>
            </w:r>
            <w:r w:rsidR="008274B3">
              <w:rPr>
                <w:rFonts w:asciiTheme="minorHAnsi" w:hAnsiTheme="minorHAnsi"/>
                <w:sz w:val="22"/>
                <w:szCs w:val="22"/>
              </w:rPr>
              <w:t xml:space="preserve"> V rámci prvních dvou výzev dosud došlo k výměně cca 60 tisíc kotlů v domácnostech s odhadovanou úsporou energie cca 1,6 PJ.</w:t>
            </w:r>
            <w:r w:rsidR="00B87399">
              <w:rPr>
                <w:rFonts w:asciiTheme="minorHAnsi" w:hAnsiTheme="minorHAnsi"/>
                <w:sz w:val="22"/>
                <w:szCs w:val="22"/>
              </w:rPr>
              <w:t xml:space="preserve"> </w:t>
            </w:r>
          </w:p>
        </w:tc>
      </w:tr>
    </w:tbl>
    <w:p w14:paraId="67D58B4F" w14:textId="77777777" w:rsidR="00710291" w:rsidRDefault="00710291">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710291" w:rsidRPr="006B443D" w14:paraId="61546772" w14:textId="77777777" w:rsidTr="00710291">
        <w:tc>
          <w:tcPr>
            <w:tcW w:w="833" w:type="pct"/>
            <w:shd w:val="clear" w:color="auto" w:fill="DBE5F1" w:themeFill="accent1" w:themeFillTint="33"/>
            <w:vAlign w:val="center"/>
          </w:tcPr>
          <w:p w14:paraId="064E3430" w14:textId="77777777" w:rsidR="00710291" w:rsidRPr="006B443D" w:rsidRDefault="00710291" w:rsidP="00B2337B">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0134CACA" w14:textId="77777777" w:rsidR="00710291" w:rsidRPr="006B443D" w:rsidRDefault="00124A31" w:rsidP="00B2337B">
            <w:pPr>
              <w:keepNext/>
              <w:spacing w:before="120" w:after="120"/>
              <w:jc w:val="both"/>
              <w:rPr>
                <w:rFonts w:asciiTheme="minorHAnsi" w:hAnsiTheme="minorHAnsi"/>
                <w:b/>
                <w:sz w:val="22"/>
                <w:szCs w:val="22"/>
              </w:rPr>
            </w:pPr>
            <w:r w:rsidRPr="00124A31">
              <w:rPr>
                <w:rFonts w:asciiTheme="minorHAnsi" w:hAnsiTheme="minorHAnsi"/>
                <w:b/>
                <w:sz w:val="22"/>
                <w:szCs w:val="22"/>
              </w:rPr>
              <w:t>Kontrola implementace zákona o hospodaření energií a zákona o podporovaných zdrojích energie</w:t>
            </w:r>
          </w:p>
        </w:tc>
      </w:tr>
      <w:tr w:rsidR="00710291" w:rsidRPr="006B443D" w14:paraId="60FD2DA2" w14:textId="77777777" w:rsidTr="00710291">
        <w:tc>
          <w:tcPr>
            <w:tcW w:w="833" w:type="pct"/>
            <w:vAlign w:val="center"/>
          </w:tcPr>
          <w:p w14:paraId="7E1165DD"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7C7DD8B3" w14:textId="71BF1311" w:rsidR="00124A31" w:rsidRPr="00124A31" w:rsidRDefault="00124A31" w:rsidP="00124A31">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124A31">
              <w:rPr>
                <w:rFonts w:asciiTheme="minorHAnsi" w:hAnsiTheme="minorHAnsi"/>
                <w:sz w:val="22"/>
                <w:szCs w:val="22"/>
              </w:rPr>
              <w:t>Zlepšit výkon kontroly a zvýšit efektivitu v oblasti hospodaření s energií a</w:t>
            </w:r>
            <w:r w:rsidR="002F1E7C">
              <w:rPr>
                <w:rFonts w:asciiTheme="minorHAnsi" w:hAnsiTheme="minorHAnsi"/>
                <w:sz w:val="22"/>
                <w:szCs w:val="22"/>
              </w:rPr>
              <w:t> </w:t>
            </w:r>
            <w:r w:rsidRPr="00124A31">
              <w:rPr>
                <w:rFonts w:asciiTheme="minorHAnsi" w:hAnsiTheme="minorHAnsi"/>
                <w:sz w:val="22"/>
                <w:szCs w:val="22"/>
              </w:rPr>
              <w:t xml:space="preserve">podpory OZE. </w:t>
            </w:r>
          </w:p>
          <w:p w14:paraId="02EF5054" w14:textId="4806EB0E" w:rsidR="00124A31" w:rsidRPr="00124A31" w:rsidRDefault="00124A31" w:rsidP="00124A31">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124A31">
              <w:rPr>
                <w:rFonts w:asciiTheme="minorHAnsi" w:hAnsiTheme="minorHAnsi"/>
                <w:sz w:val="22"/>
                <w:szCs w:val="22"/>
              </w:rPr>
              <w:t>Kontroly zaměřit na plnění standardů účinnosti u energetických zařízení a</w:t>
            </w:r>
            <w:r w:rsidR="002F1E7C">
              <w:rPr>
                <w:rFonts w:asciiTheme="minorHAnsi" w:hAnsiTheme="minorHAnsi"/>
                <w:sz w:val="22"/>
                <w:szCs w:val="22"/>
              </w:rPr>
              <w:t> </w:t>
            </w:r>
            <w:r w:rsidRPr="00124A31">
              <w:rPr>
                <w:rFonts w:asciiTheme="minorHAnsi" w:hAnsiTheme="minorHAnsi"/>
                <w:sz w:val="22"/>
                <w:szCs w:val="22"/>
              </w:rPr>
              <w:t>systémů i u prodávaných elektrických spotřebičů.</w:t>
            </w:r>
          </w:p>
          <w:p w14:paraId="31E95F63" w14:textId="27CAC800" w:rsidR="00710291" w:rsidRPr="006B443D" w:rsidRDefault="00124A31" w:rsidP="002F1E7C">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124A31">
              <w:rPr>
                <w:rFonts w:asciiTheme="minorHAnsi" w:hAnsiTheme="minorHAnsi"/>
                <w:sz w:val="22"/>
                <w:szCs w:val="22"/>
              </w:rPr>
              <w:t>Upravit rozsah kontrol, zvýšit jejich odbornou kvalitu a zajistit systematickou informovanost státní správy i veřejnosti o situaci v oblasti hospodaření energií a</w:t>
            </w:r>
            <w:r w:rsidR="002F1E7C">
              <w:rPr>
                <w:rFonts w:asciiTheme="minorHAnsi" w:hAnsiTheme="minorHAnsi"/>
                <w:sz w:val="22"/>
                <w:szCs w:val="22"/>
              </w:rPr>
              <w:t> </w:t>
            </w:r>
            <w:r w:rsidRPr="00124A31">
              <w:rPr>
                <w:rFonts w:asciiTheme="minorHAnsi" w:hAnsiTheme="minorHAnsi"/>
                <w:sz w:val="22"/>
                <w:szCs w:val="22"/>
              </w:rPr>
              <w:t>rozvoje OZE, souhrnných výsledcích kontrol a jejich vyhodnocování.</w:t>
            </w:r>
          </w:p>
        </w:tc>
      </w:tr>
      <w:tr w:rsidR="00710291" w:rsidRPr="006B443D" w14:paraId="6D798824" w14:textId="77777777" w:rsidTr="00710291">
        <w:tc>
          <w:tcPr>
            <w:tcW w:w="833" w:type="pct"/>
            <w:vAlign w:val="center"/>
          </w:tcPr>
          <w:p w14:paraId="6BCC9A6F"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lastRenderedPageBreak/>
              <w:t>Gesce</w:t>
            </w:r>
          </w:p>
        </w:tc>
        <w:tc>
          <w:tcPr>
            <w:tcW w:w="4167" w:type="pct"/>
            <w:vAlign w:val="center"/>
          </w:tcPr>
          <w:p w14:paraId="234D7476" w14:textId="77777777" w:rsidR="00710291" w:rsidRPr="006B443D" w:rsidRDefault="00124A31" w:rsidP="00710291">
            <w:pPr>
              <w:spacing w:before="120" w:after="120"/>
              <w:jc w:val="both"/>
              <w:rPr>
                <w:rFonts w:asciiTheme="minorHAnsi" w:hAnsiTheme="minorHAnsi"/>
                <w:sz w:val="22"/>
                <w:szCs w:val="22"/>
              </w:rPr>
            </w:pPr>
            <w:r>
              <w:rPr>
                <w:rFonts w:asciiTheme="minorHAnsi" w:hAnsiTheme="minorHAnsi"/>
                <w:sz w:val="22"/>
                <w:szCs w:val="22"/>
              </w:rPr>
              <w:t>MPO</w:t>
            </w:r>
          </w:p>
        </w:tc>
      </w:tr>
      <w:tr w:rsidR="00710291" w:rsidRPr="006B443D" w14:paraId="1436DFEE" w14:textId="77777777" w:rsidTr="00710291">
        <w:tc>
          <w:tcPr>
            <w:tcW w:w="833" w:type="pct"/>
            <w:vAlign w:val="center"/>
          </w:tcPr>
          <w:p w14:paraId="6A68AC89"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4CAFED7E" w14:textId="7E58AFF3" w:rsidR="00710291" w:rsidRPr="006B443D" w:rsidRDefault="00810856" w:rsidP="00710291">
            <w:pPr>
              <w:spacing w:before="120" w:after="120"/>
              <w:jc w:val="both"/>
              <w:rPr>
                <w:rFonts w:asciiTheme="minorHAnsi" w:hAnsiTheme="minorHAnsi"/>
                <w:sz w:val="22"/>
                <w:szCs w:val="22"/>
              </w:rPr>
            </w:pPr>
            <w:r w:rsidRPr="00810856">
              <w:rPr>
                <w:rFonts w:asciiTheme="minorHAnsi" w:hAnsiTheme="minorHAnsi"/>
                <w:sz w:val="22"/>
                <w:szCs w:val="22"/>
              </w:rPr>
              <w:t>do 31. 12. 2015</w:t>
            </w:r>
          </w:p>
        </w:tc>
      </w:tr>
      <w:tr w:rsidR="00710291" w:rsidRPr="006B443D" w14:paraId="2B1760F4" w14:textId="77777777" w:rsidTr="005624FC">
        <w:tc>
          <w:tcPr>
            <w:tcW w:w="833" w:type="pct"/>
            <w:vAlign w:val="center"/>
          </w:tcPr>
          <w:p w14:paraId="1839692E"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6D84DAA2" w14:textId="7BCB216D" w:rsidR="00124A31" w:rsidRPr="00124A31" w:rsidRDefault="00124A31" w:rsidP="00124A31">
            <w:pPr>
              <w:overflowPunct w:val="0"/>
              <w:autoSpaceDE w:val="0"/>
              <w:autoSpaceDN w:val="0"/>
              <w:adjustRightInd w:val="0"/>
              <w:spacing w:before="120" w:after="120"/>
              <w:jc w:val="both"/>
              <w:textAlignment w:val="baseline"/>
              <w:rPr>
                <w:rFonts w:asciiTheme="minorHAnsi" w:hAnsiTheme="minorHAnsi"/>
                <w:b/>
                <w:sz w:val="22"/>
                <w:szCs w:val="22"/>
              </w:rPr>
            </w:pPr>
            <w:r w:rsidRPr="00124A31">
              <w:rPr>
                <w:rFonts w:asciiTheme="minorHAnsi" w:hAnsiTheme="minorHAnsi"/>
                <w:b/>
                <w:sz w:val="22"/>
                <w:szCs w:val="22"/>
              </w:rPr>
              <w:t>Splněno dílčím způsobem</w:t>
            </w:r>
          </w:p>
          <w:p w14:paraId="33A216AB" w14:textId="35EBB359" w:rsidR="00124A31" w:rsidRPr="00A21921" w:rsidRDefault="00124A31" w:rsidP="00A21921">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A21921">
              <w:rPr>
                <w:rFonts w:asciiTheme="minorHAnsi" w:hAnsiTheme="minorHAnsi"/>
                <w:sz w:val="22"/>
                <w:szCs w:val="22"/>
              </w:rPr>
              <w:t>Byl vydán zákon č. 131/2015 Sb., kterým se mění zákon č. 458/2000 Sb., o</w:t>
            </w:r>
            <w:r w:rsidR="002F1E7C" w:rsidRPr="00A21921">
              <w:rPr>
                <w:rFonts w:asciiTheme="minorHAnsi" w:hAnsiTheme="minorHAnsi"/>
                <w:sz w:val="22"/>
                <w:szCs w:val="22"/>
              </w:rPr>
              <w:t> </w:t>
            </w:r>
            <w:r w:rsidRPr="00A21921">
              <w:rPr>
                <w:rFonts w:asciiTheme="minorHAnsi" w:hAnsiTheme="minorHAnsi"/>
                <w:sz w:val="22"/>
                <w:szCs w:val="22"/>
              </w:rPr>
              <w:t>podmínkách podnikání a o výkonu státní správy v energetických odvětvích, V</w:t>
            </w:r>
            <w:r w:rsidR="002F1E7C" w:rsidRPr="00A21921">
              <w:rPr>
                <w:rFonts w:asciiTheme="minorHAnsi" w:hAnsiTheme="minorHAnsi"/>
                <w:sz w:val="22"/>
                <w:szCs w:val="22"/>
              </w:rPr>
              <w:t> </w:t>
            </w:r>
            <w:r w:rsidRPr="00A21921">
              <w:rPr>
                <w:rFonts w:asciiTheme="minorHAnsi" w:hAnsiTheme="minorHAnsi"/>
                <w:sz w:val="22"/>
                <w:szCs w:val="22"/>
              </w:rPr>
              <w:t>rámci této novely byla přijata nová ustanovení, jejichž cílem je zvýšení efektivity a kontroly v oblasti obnovitelných zdrojů energie, kdy kontrolou dodržování zákona o podporovaných zdrojích energie je</w:t>
            </w:r>
            <w:r w:rsidR="007179A4" w:rsidRPr="00A21921">
              <w:rPr>
                <w:rFonts w:asciiTheme="minorHAnsi" w:hAnsiTheme="minorHAnsi"/>
                <w:sz w:val="22"/>
                <w:szCs w:val="22"/>
              </w:rPr>
              <w:t xml:space="preserve"> od 1. ledna 2016</w:t>
            </w:r>
            <w:r w:rsidRPr="00A21921">
              <w:rPr>
                <w:rFonts w:asciiTheme="minorHAnsi" w:hAnsiTheme="minorHAnsi"/>
                <w:sz w:val="22"/>
                <w:szCs w:val="22"/>
              </w:rPr>
              <w:t xml:space="preserve"> pověřen </w:t>
            </w:r>
            <w:r w:rsidR="005B2120" w:rsidRPr="00A21921">
              <w:rPr>
                <w:rFonts w:asciiTheme="minorHAnsi" w:hAnsiTheme="minorHAnsi"/>
                <w:sz w:val="22"/>
                <w:szCs w:val="22"/>
              </w:rPr>
              <w:t>Energetický regulační úřad</w:t>
            </w:r>
            <w:r w:rsidRPr="00A21921">
              <w:rPr>
                <w:rFonts w:asciiTheme="minorHAnsi" w:hAnsiTheme="minorHAnsi"/>
                <w:sz w:val="22"/>
                <w:szCs w:val="22"/>
              </w:rPr>
              <w:t xml:space="preserve"> (zákon č. 458/2000 Sb. § 18 odst. 1 písm. e)), a</w:t>
            </w:r>
            <w:r w:rsidR="002F1E7C" w:rsidRPr="00A21921">
              <w:rPr>
                <w:rFonts w:asciiTheme="minorHAnsi" w:hAnsiTheme="minorHAnsi"/>
                <w:sz w:val="22"/>
                <w:szCs w:val="22"/>
              </w:rPr>
              <w:t> </w:t>
            </w:r>
            <w:r w:rsidRPr="00A21921">
              <w:rPr>
                <w:rFonts w:asciiTheme="minorHAnsi" w:hAnsiTheme="minorHAnsi"/>
                <w:sz w:val="22"/>
                <w:szCs w:val="22"/>
              </w:rPr>
              <w:t>v</w:t>
            </w:r>
            <w:r w:rsidR="002F1E7C">
              <w:t> </w:t>
            </w:r>
            <w:r w:rsidRPr="00A21921">
              <w:rPr>
                <w:rFonts w:asciiTheme="minorHAnsi" w:hAnsiTheme="minorHAnsi"/>
                <w:sz w:val="22"/>
                <w:szCs w:val="22"/>
              </w:rPr>
              <w:t>oblasti hospodaření energií, kdy kontrolou zákona o hospodaření energií je pověřena Státní energetická inspekce (zákon č. 406/2000 Sb. § 13a odst. 1).</w:t>
            </w:r>
          </w:p>
          <w:p w14:paraId="6DA6DA82" w14:textId="77777777" w:rsidR="00282A1A" w:rsidRDefault="00124A31" w:rsidP="00282A1A">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282A1A">
              <w:rPr>
                <w:rFonts w:asciiTheme="minorHAnsi" w:hAnsiTheme="minorHAnsi"/>
                <w:sz w:val="22"/>
                <w:szCs w:val="22"/>
              </w:rPr>
              <w:t>Od roku 2016, kdy došlo k úpravě pravomocí SEI, se tento kontrolní orgán nově zaměřuje pouze na oblast dohledu nad zvyšováním energetické účinnosti v ČR, čímž došlo k významnému posílení kontrolní činnosti této oblasti. Jedna z</w:t>
            </w:r>
            <w:r w:rsidR="002F1E7C" w:rsidRPr="00282A1A">
              <w:rPr>
                <w:rFonts w:asciiTheme="minorHAnsi" w:hAnsiTheme="minorHAnsi"/>
                <w:sz w:val="22"/>
                <w:szCs w:val="22"/>
              </w:rPr>
              <w:t> </w:t>
            </w:r>
            <w:r w:rsidRPr="00282A1A">
              <w:rPr>
                <w:rFonts w:asciiTheme="minorHAnsi" w:hAnsiTheme="minorHAnsi"/>
                <w:sz w:val="22"/>
                <w:szCs w:val="22"/>
              </w:rPr>
              <w:t xml:space="preserve">hlavních priorit kontrolní činnosti je zaměřena na osoby zpracovávající energetické dokumenty - energetické specialisty. </w:t>
            </w:r>
            <w:r w:rsidR="00D615F1" w:rsidRPr="00282A1A">
              <w:rPr>
                <w:rFonts w:asciiTheme="minorHAnsi" w:hAnsiTheme="minorHAnsi"/>
                <w:sz w:val="22"/>
                <w:szCs w:val="22"/>
              </w:rPr>
              <w:t>Při tom celkový počet kontrol dodržování povinností vyplývajících ze zákona č. 406/2000 Sb., o hospodaření energií dosáhl v roce 2016 hodnoty 809 a v roce 2017 hodnoty 721. Kontroly se primárně zaměřily na dodržování povinnosti energetických specialistů, kde bylo provedeno 306 kontrol v roce 2016 a 413 kontrol v roce 2017. Většina z těchto kontrol byla zaměřena na kontrolu průkazů energetické náročnosti budovy, přičemž jich bylo zkontrolováno 1305 v roce 2016 a 1842 v roce 2017. Další významnou činností je potom dohled nad trhem v oblasti energetických štítků a </w:t>
            </w:r>
            <w:proofErr w:type="spellStart"/>
            <w:r w:rsidR="00D615F1" w:rsidRPr="00282A1A">
              <w:rPr>
                <w:rFonts w:asciiTheme="minorHAnsi" w:hAnsiTheme="minorHAnsi"/>
                <w:sz w:val="22"/>
                <w:szCs w:val="22"/>
              </w:rPr>
              <w:t>ekodesignu</w:t>
            </w:r>
            <w:proofErr w:type="spellEnd"/>
            <w:r w:rsidR="00D615F1" w:rsidRPr="00282A1A">
              <w:rPr>
                <w:rFonts w:asciiTheme="minorHAnsi" w:hAnsiTheme="minorHAnsi"/>
                <w:sz w:val="22"/>
                <w:szCs w:val="22"/>
              </w:rPr>
              <w:t>. Energetické štítky jsou převážně kontrolovány u obchodníků v kamenných prodejnách a na internetu</w:t>
            </w:r>
            <w:r w:rsidR="00906977" w:rsidRPr="00282A1A">
              <w:rPr>
                <w:rFonts w:asciiTheme="minorHAnsi" w:hAnsiTheme="minorHAnsi"/>
                <w:sz w:val="22"/>
                <w:szCs w:val="22"/>
              </w:rPr>
              <w:t xml:space="preserve"> a v případě </w:t>
            </w:r>
            <w:proofErr w:type="spellStart"/>
            <w:r w:rsidR="00906977" w:rsidRPr="00282A1A">
              <w:rPr>
                <w:rFonts w:asciiTheme="minorHAnsi" w:hAnsiTheme="minorHAnsi"/>
                <w:sz w:val="22"/>
                <w:szCs w:val="22"/>
              </w:rPr>
              <w:t>ekodesignu</w:t>
            </w:r>
            <w:proofErr w:type="spellEnd"/>
            <w:r w:rsidR="00906977" w:rsidRPr="00282A1A">
              <w:rPr>
                <w:rFonts w:asciiTheme="minorHAnsi" w:hAnsiTheme="minorHAnsi"/>
                <w:sz w:val="22"/>
                <w:szCs w:val="22"/>
              </w:rPr>
              <w:t xml:space="preserve"> dochází rovněž k testování výrobků</w:t>
            </w:r>
            <w:r w:rsidR="00D615F1" w:rsidRPr="00282A1A">
              <w:rPr>
                <w:rFonts w:asciiTheme="minorHAnsi" w:hAnsiTheme="minorHAnsi"/>
                <w:sz w:val="22"/>
                <w:szCs w:val="22"/>
              </w:rPr>
              <w:t xml:space="preserve">. </w:t>
            </w:r>
            <w:r w:rsidR="00906977" w:rsidRPr="00282A1A">
              <w:rPr>
                <w:rFonts w:asciiTheme="minorHAnsi" w:hAnsiTheme="minorHAnsi"/>
                <w:sz w:val="22"/>
                <w:szCs w:val="22"/>
              </w:rPr>
              <w:t>V této oblasti bylo provedeno 112 kontrol v roce 2016 a 58 kontrol v roce 2017. V oblasti pravidel vytápění a s nimi související regulace a registrace dodávky tepelné energie, pak došlo v roce 2016 k 197 kontrolám a v roce 2017 k 102 kontrolám.</w:t>
            </w:r>
          </w:p>
          <w:p w14:paraId="6C4C6D18" w14:textId="351993BB" w:rsidR="00124A31" w:rsidRPr="00282A1A" w:rsidRDefault="00124A31" w:rsidP="00282A1A">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282A1A">
              <w:rPr>
                <w:rFonts w:asciiTheme="minorHAnsi" w:hAnsiTheme="minorHAnsi"/>
                <w:sz w:val="22"/>
                <w:szCs w:val="22"/>
              </w:rPr>
              <w:t>Kromě kontrolní činnosti se SEI podílí také na informovanosti a osvětě odborné veřejnosti, především prezentací na různých odborných akcích, přispíváním do odborných časopisů, tvorbou odborných příruček a spoluprací s ostatními jak státními, tak soukromými subjekty pohybující se na poli energetických úspor.</w:t>
            </w:r>
          </w:p>
          <w:p w14:paraId="4B021CCA" w14:textId="5A962B40" w:rsidR="00710291" w:rsidRPr="00D1501A" w:rsidRDefault="00C46E8E" w:rsidP="005624FC">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A9786E">
              <w:rPr>
                <w:rFonts w:asciiTheme="minorHAnsi" w:hAnsiTheme="minorHAnsi"/>
                <w:sz w:val="22"/>
                <w:szCs w:val="22"/>
              </w:rPr>
              <w:t>M</w:t>
            </w:r>
            <w:r>
              <w:rPr>
                <w:rFonts w:asciiTheme="minorHAnsi" w:hAnsiTheme="minorHAnsi"/>
                <w:sz w:val="22"/>
                <w:szCs w:val="22"/>
              </w:rPr>
              <w:t>PO</w:t>
            </w:r>
            <w:r w:rsidRPr="00A9786E">
              <w:rPr>
                <w:rFonts w:asciiTheme="minorHAnsi" w:hAnsiTheme="minorHAnsi"/>
                <w:sz w:val="22"/>
                <w:szCs w:val="22"/>
              </w:rPr>
              <w:t xml:space="preserve"> připravilo materiál s názvem „Závazky na zavedení mechanismu kontroly přiměřenosti podpory elektřiny z podporovaných zdrojů energie“</w:t>
            </w:r>
            <w:r>
              <w:rPr>
                <w:rFonts w:asciiTheme="minorHAnsi" w:hAnsiTheme="minorHAnsi"/>
                <w:sz w:val="22"/>
                <w:szCs w:val="22"/>
              </w:rPr>
              <w:t>, jež</w:t>
            </w:r>
            <w:r w:rsidRPr="00A9786E">
              <w:rPr>
                <w:rFonts w:asciiTheme="minorHAnsi" w:hAnsiTheme="minorHAnsi"/>
                <w:sz w:val="22"/>
                <w:szCs w:val="22"/>
              </w:rPr>
              <w:t xml:space="preserve"> obsahuje základní rámec a </w:t>
            </w:r>
            <w:r>
              <w:rPr>
                <w:rFonts w:asciiTheme="minorHAnsi" w:hAnsiTheme="minorHAnsi"/>
                <w:sz w:val="22"/>
                <w:szCs w:val="22"/>
              </w:rPr>
              <w:t xml:space="preserve">také </w:t>
            </w:r>
            <w:r w:rsidRPr="00A9786E">
              <w:rPr>
                <w:rFonts w:asciiTheme="minorHAnsi" w:hAnsiTheme="minorHAnsi"/>
                <w:sz w:val="22"/>
                <w:szCs w:val="22"/>
              </w:rPr>
              <w:t>principy provedení mechanismu kontroly přiměřenosti podpory</w:t>
            </w:r>
            <w:r>
              <w:rPr>
                <w:rFonts w:asciiTheme="minorHAnsi" w:hAnsiTheme="minorHAnsi"/>
                <w:sz w:val="22"/>
                <w:szCs w:val="22"/>
              </w:rPr>
              <w:t>, které vyplývají</w:t>
            </w:r>
            <w:r w:rsidRPr="00A9786E">
              <w:rPr>
                <w:rFonts w:asciiTheme="minorHAnsi" w:hAnsiTheme="minorHAnsi"/>
                <w:sz w:val="22"/>
                <w:szCs w:val="22"/>
              </w:rPr>
              <w:t xml:space="preserve"> z vydaných rozhodnutí Evropské komise o slučitelnosti provozní podpory pro podporované zdroje energie s vnitřním trhem EU. Vláda </w:t>
            </w:r>
            <w:r>
              <w:rPr>
                <w:rFonts w:asciiTheme="minorHAnsi" w:hAnsiTheme="minorHAnsi"/>
                <w:sz w:val="22"/>
                <w:szCs w:val="22"/>
              </w:rPr>
              <w:t xml:space="preserve">ČR </w:t>
            </w:r>
            <w:r w:rsidRPr="00A9786E">
              <w:rPr>
                <w:rFonts w:asciiTheme="minorHAnsi" w:hAnsiTheme="minorHAnsi"/>
                <w:sz w:val="22"/>
                <w:szCs w:val="22"/>
              </w:rPr>
              <w:t>tento materiál schválila</w:t>
            </w:r>
            <w:r>
              <w:rPr>
                <w:rFonts w:asciiTheme="minorHAnsi" w:hAnsiTheme="minorHAnsi"/>
                <w:sz w:val="22"/>
                <w:szCs w:val="22"/>
              </w:rPr>
              <w:t xml:space="preserve"> usnesením č. 613 ze </w:t>
            </w:r>
            <w:r w:rsidRPr="00A9786E">
              <w:rPr>
                <w:rFonts w:asciiTheme="minorHAnsi" w:hAnsiTheme="minorHAnsi"/>
                <w:sz w:val="22"/>
                <w:szCs w:val="22"/>
              </w:rPr>
              <w:t xml:space="preserve">dne 4. </w:t>
            </w:r>
            <w:r>
              <w:rPr>
                <w:rFonts w:asciiTheme="minorHAnsi" w:hAnsiTheme="minorHAnsi"/>
                <w:sz w:val="22"/>
                <w:szCs w:val="22"/>
              </w:rPr>
              <w:t>září</w:t>
            </w:r>
            <w:r w:rsidRPr="00A9786E">
              <w:rPr>
                <w:rFonts w:asciiTheme="minorHAnsi" w:hAnsiTheme="minorHAnsi"/>
                <w:sz w:val="22"/>
                <w:szCs w:val="22"/>
              </w:rPr>
              <w:t xml:space="preserve"> 2017 a uložila ministru průmyslu a obch</w:t>
            </w:r>
            <w:r>
              <w:rPr>
                <w:rFonts w:asciiTheme="minorHAnsi" w:hAnsiTheme="minorHAnsi"/>
                <w:sz w:val="22"/>
                <w:szCs w:val="22"/>
              </w:rPr>
              <w:t>odu zpracovat</w:t>
            </w:r>
            <w:r w:rsidRPr="00A9786E">
              <w:rPr>
                <w:rFonts w:asciiTheme="minorHAnsi" w:hAnsiTheme="minorHAnsi"/>
                <w:sz w:val="22"/>
                <w:szCs w:val="22"/>
              </w:rPr>
              <w:t xml:space="preserve"> novelu zákona č. 165/2012 Sb., o</w:t>
            </w:r>
            <w:r w:rsidR="005624FC">
              <w:rPr>
                <w:rFonts w:asciiTheme="minorHAnsi" w:hAnsiTheme="minorHAnsi"/>
                <w:sz w:val="22"/>
                <w:szCs w:val="22"/>
              </w:rPr>
              <w:t> </w:t>
            </w:r>
            <w:r w:rsidRPr="00A9786E">
              <w:rPr>
                <w:rFonts w:asciiTheme="minorHAnsi" w:hAnsiTheme="minorHAnsi"/>
                <w:sz w:val="22"/>
                <w:szCs w:val="22"/>
              </w:rPr>
              <w:t xml:space="preserve">podporovaných zdrojích energie. V současné době </w:t>
            </w:r>
            <w:r>
              <w:rPr>
                <w:rFonts w:asciiTheme="minorHAnsi" w:hAnsiTheme="minorHAnsi"/>
                <w:sz w:val="22"/>
                <w:szCs w:val="22"/>
              </w:rPr>
              <w:t xml:space="preserve">tedy </w:t>
            </w:r>
            <w:r w:rsidRPr="00A9786E">
              <w:rPr>
                <w:rFonts w:asciiTheme="minorHAnsi" w:hAnsiTheme="minorHAnsi"/>
                <w:sz w:val="22"/>
                <w:szCs w:val="22"/>
              </w:rPr>
              <w:t>M</w:t>
            </w:r>
            <w:r>
              <w:rPr>
                <w:rFonts w:asciiTheme="minorHAnsi" w:hAnsiTheme="minorHAnsi"/>
                <w:sz w:val="22"/>
                <w:szCs w:val="22"/>
              </w:rPr>
              <w:t>PO</w:t>
            </w:r>
            <w:r w:rsidRPr="00A9786E">
              <w:rPr>
                <w:rFonts w:asciiTheme="minorHAnsi" w:hAnsiTheme="minorHAnsi"/>
                <w:sz w:val="22"/>
                <w:szCs w:val="22"/>
              </w:rPr>
              <w:t xml:space="preserve"> připravuje </w:t>
            </w:r>
            <w:r w:rsidR="005624FC">
              <w:rPr>
                <w:rFonts w:asciiTheme="minorHAnsi" w:hAnsiTheme="minorHAnsi"/>
                <w:sz w:val="22"/>
                <w:szCs w:val="22"/>
              </w:rPr>
              <w:t xml:space="preserve">tuto </w:t>
            </w:r>
            <w:r w:rsidRPr="00A9786E">
              <w:rPr>
                <w:rFonts w:asciiTheme="minorHAnsi" w:hAnsiTheme="minorHAnsi"/>
                <w:sz w:val="22"/>
                <w:szCs w:val="22"/>
              </w:rPr>
              <w:t xml:space="preserve">novelu, která bude </w:t>
            </w:r>
            <w:r w:rsidR="003C6C4E">
              <w:rPr>
                <w:rFonts w:asciiTheme="minorHAnsi" w:hAnsiTheme="minorHAnsi"/>
                <w:sz w:val="22"/>
                <w:szCs w:val="22"/>
              </w:rPr>
              <w:t>zohledňovat</w:t>
            </w:r>
            <w:r w:rsidR="005624FC">
              <w:rPr>
                <w:rFonts w:asciiTheme="minorHAnsi" w:hAnsiTheme="minorHAnsi"/>
                <w:sz w:val="22"/>
                <w:szCs w:val="22"/>
              </w:rPr>
              <w:t xml:space="preserve"> mimo jiné</w:t>
            </w:r>
            <w:r w:rsidR="00A5198C">
              <w:rPr>
                <w:rFonts w:asciiTheme="minorHAnsi" w:hAnsiTheme="minorHAnsi"/>
                <w:sz w:val="22"/>
                <w:szCs w:val="22"/>
              </w:rPr>
              <w:t xml:space="preserve"> </w:t>
            </w:r>
            <w:r w:rsidR="005624FC">
              <w:rPr>
                <w:rFonts w:asciiTheme="minorHAnsi" w:hAnsiTheme="minorHAnsi"/>
                <w:sz w:val="22"/>
                <w:szCs w:val="22"/>
              </w:rPr>
              <w:t>také</w:t>
            </w:r>
            <w:r w:rsidR="003C6C4E">
              <w:rPr>
                <w:rFonts w:asciiTheme="minorHAnsi" w:hAnsiTheme="minorHAnsi"/>
                <w:sz w:val="22"/>
                <w:szCs w:val="22"/>
              </w:rPr>
              <w:t xml:space="preserve"> rozhodnutí </w:t>
            </w:r>
            <w:r w:rsidR="00A5198C">
              <w:rPr>
                <w:rFonts w:asciiTheme="minorHAnsi" w:hAnsiTheme="minorHAnsi"/>
                <w:sz w:val="22"/>
                <w:szCs w:val="22"/>
              </w:rPr>
              <w:t xml:space="preserve">pověřit kontrolou možné </w:t>
            </w:r>
            <w:proofErr w:type="spellStart"/>
            <w:r w:rsidR="00A5198C">
              <w:rPr>
                <w:rFonts w:asciiTheme="minorHAnsi" w:hAnsiTheme="minorHAnsi"/>
                <w:sz w:val="22"/>
                <w:szCs w:val="22"/>
              </w:rPr>
              <w:t>překompenzace</w:t>
            </w:r>
            <w:proofErr w:type="spellEnd"/>
            <w:r w:rsidR="00A5198C">
              <w:rPr>
                <w:rFonts w:asciiTheme="minorHAnsi" w:hAnsiTheme="minorHAnsi"/>
                <w:sz w:val="22"/>
                <w:szCs w:val="22"/>
              </w:rPr>
              <w:t xml:space="preserve"> podporovaných zdrojů energie S</w:t>
            </w:r>
            <w:r w:rsidR="00B84FD7">
              <w:rPr>
                <w:rFonts w:asciiTheme="minorHAnsi" w:hAnsiTheme="minorHAnsi"/>
                <w:sz w:val="22"/>
                <w:szCs w:val="22"/>
              </w:rPr>
              <w:t>tátní energetickou inspekci</w:t>
            </w:r>
            <w:r w:rsidR="00A5198C">
              <w:rPr>
                <w:rFonts w:asciiTheme="minorHAnsi" w:hAnsiTheme="minorHAnsi"/>
                <w:sz w:val="22"/>
                <w:szCs w:val="22"/>
              </w:rPr>
              <w:t>.</w:t>
            </w:r>
            <w:r w:rsidR="005624FC">
              <w:rPr>
                <w:rFonts w:asciiTheme="minorHAnsi" w:hAnsiTheme="minorHAnsi"/>
                <w:sz w:val="22"/>
                <w:szCs w:val="22"/>
              </w:rPr>
              <w:t xml:space="preserve"> Legislativní proces k této novele bude zahájen do konce roku 2018.</w:t>
            </w:r>
          </w:p>
        </w:tc>
      </w:tr>
    </w:tbl>
    <w:p w14:paraId="3AEF35E0" w14:textId="77777777" w:rsidR="00710291" w:rsidRDefault="00710291">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710291" w:rsidRPr="006B443D" w14:paraId="0B70A03F" w14:textId="77777777" w:rsidTr="00710291">
        <w:tc>
          <w:tcPr>
            <w:tcW w:w="833" w:type="pct"/>
            <w:shd w:val="clear" w:color="auto" w:fill="DBE5F1" w:themeFill="accent1" w:themeFillTint="33"/>
            <w:vAlign w:val="center"/>
          </w:tcPr>
          <w:p w14:paraId="05F2A5ED" w14:textId="77777777" w:rsidR="00710291" w:rsidRPr="006B443D" w:rsidRDefault="00710291" w:rsidP="00B2337B">
            <w:pPr>
              <w:keepNext/>
              <w:jc w:val="center"/>
              <w:rPr>
                <w:rFonts w:asciiTheme="minorHAnsi" w:hAnsiTheme="minorHAnsi"/>
                <w:b/>
                <w:sz w:val="22"/>
                <w:szCs w:val="22"/>
              </w:rPr>
            </w:pPr>
            <w:r w:rsidRPr="006B443D">
              <w:rPr>
                <w:rFonts w:asciiTheme="minorHAnsi" w:hAnsiTheme="minorHAnsi"/>
                <w:b/>
                <w:sz w:val="22"/>
                <w:szCs w:val="22"/>
              </w:rPr>
              <w:lastRenderedPageBreak/>
              <w:t>Nástroj</w:t>
            </w:r>
          </w:p>
        </w:tc>
        <w:tc>
          <w:tcPr>
            <w:tcW w:w="4167" w:type="pct"/>
            <w:shd w:val="clear" w:color="auto" w:fill="DBE5F1" w:themeFill="accent1" w:themeFillTint="33"/>
            <w:vAlign w:val="center"/>
          </w:tcPr>
          <w:p w14:paraId="48D41684" w14:textId="77777777" w:rsidR="00710291" w:rsidRPr="006B443D" w:rsidRDefault="005B2120" w:rsidP="00B2337B">
            <w:pPr>
              <w:keepNext/>
              <w:spacing w:before="120" w:after="120"/>
              <w:jc w:val="both"/>
              <w:rPr>
                <w:rFonts w:asciiTheme="minorHAnsi" w:hAnsiTheme="minorHAnsi"/>
                <w:b/>
                <w:sz w:val="22"/>
                <w:szCs w:val="22"/>
              </w:rPr>
            </w:pPr>
            <w:r w:rsidRPr="005B2120">
              <w:rPr>
                <w:rFonts w:asciiTheme="minorHAnsi" w:hAnsiTheme="minorHAnsi"/>
                <w:b/>
                <w:sz w:val="22"/>
                <w:szCs w:val="22"/>
              </w:rPr>
              <w:t>Státní hmotné rezervy</w:t>
            </w:r>
          </w:p>
        </w:tc>
      </w:tr>
      <w:tr w:rsidR="00710291" w:rsidRPr="006B443D" w14:paraId="56395C83" w14:textId="77777777" w:rsidTr="005A3CAF">
        <w:trPr>
          <w:cantSplit/>
        </w:trPr>
        <w:tc>
          <w:tcPr>
            <w:tcW w:w="833" w:type="pct"/>
            <w:vAlign w:val="center"/>
          </w:tcPr>
          <w:p w14:paraId="7AC03FA4"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3C565D9B" w14:textId="0DCBFF4B" w:rsidR="005B2120" w:rsidRPr="005B2120" w:rsidRDefault="005B2120" w:rsidP="005B2120">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5B2120">
              <w:rPr>
                <w:rFonts w:asciiTheme="minorHAnsi" w:hAnsiTheme="minorHAnsi"/>
                <w:sz w:val="22"/>
                <w:szCs w:val="22"/>
              </w:rPr>
              <w:t>Zajistit aktualizaci usnesení vlády ze dne 23. července 2008 č. 910 k Analýze možností zařazení jaderného paliva do systému státních hmotných rezerv v</w:t>
            </w:r>
            <w:r w:rsidR="002F1E7C">
              <w:rPr>
                <w:rFonts w:asciiTheme="minorHAnsi" w:hAnsiTheme="minorHAnsi"/>
                <w:sz w:val="22"/>
                <w:szCs w:val="22"/>
              </w:rPr>
              <w:t> </w:t>
            </w:r>
            <w:r w:rsidRPr="005B2120">
              <w:rPr>
                <w:rFonts w:asciiTheme="minorHAnsi" w:hAnsiTheme="minorHAnsi"/>
                <w:sz w:val="22"/>
                <w:szCs w:val="22"/>
              </w:rPr>
              <w:t>návaznosti na změny energetického zákona a ukotvení povinnosti provozovatele držet zásoby jaderného paliva.</w:t>
            </w:r>
          </w:p>
          <w:p w14:paraId="5851D3DB" w14:textId="77777777" w:rsidR="00710291" w:rsidRPr="006B443D" w:rsidRDefault="005B2120" w:rsidP="005B2120">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5B2120">
              <w:rPr>
                <w:rFonts w:asciiTheme="minorHAnsi" w:hAnsiTheme="minorHAnsi"/>
                <w:sz w:val="22"/>
                <w:szCs w:val="22"/>
              </w:rPr>
              <w:t>Revidovat model státních hmotných rezerv v oblasti ropy, včetně struktury zásob.</w:t>
            </w:r>
          </w:p>
        </w:tc>
      </w:tr>
      <w:tr w:rsidR="00710291" w:rsidRPr="006B443D" w14:paraId="3CFBD2F7" w14:textId="77777777" w:rsidTr="00710291">
        <w:tc>
          <w:tcPr>
            <w:tcW w:w="833" w:type="pct"/>
            <w:vAlign w:val="center"/>
          </w:tcPr>
          <w:p w14:paraId="719EF344"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79E76432" w14:textId="77777777" w:rsidR="00710291" w:rsidRPr="006B443D" w:rsidRDefault="005B2120" w:rsidP="00710291">
            <w:pPr>
              <w:spacing w:before="120" w:after="120"/>
              <w:jc w:val="both"/>
              <w:rPr>
                <w:rFonts w:asciiTheme="minorHAnsi" w:hAnsiTheme="minorHAnsi"/>
                <w:sz w:val="22"/>
                <w:szCs w:val="22"/>
              </w:rPr>
            </w:pPr>
            <w:r w:rsidRPr="005B2120">
              <w:rPr>
                <w:rFonts w:asciiTheme="minorHAnsi" w:hAnsiTheme="minorHAnsi"/>
                <w:sz w:val="22"/>
                <w:szCs w:val="22"/>
              </w:rPr>
              <w:t>MPO, MF v součinnosti se SSHR</w:t>
            </w:r>
          </w:p>
        </w:tc>
      </w:tr>
      <w:tr w:rsidR="00710291" w:rsidRPr="006B443D" w14:paraId="1794B2F4" w14:textId="77777777" w:rsidTr="00710291">
        <w:tc>
          <w:tcPr>
            <w:tcW w:w="833" w:type="pct"/>
            <w:vAlign w:val="center"/>
          </w:tcPr>
          <w:p w14:paraId="23D930DD"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5E344DAC" w14:textId="77777777" w:rsidR="00710291" w:rsidRPr="006B443D" w:rsidRDefault="005B2120" w:rsidP="00710291">
            <w:pPr>
              <w:spacing w:before="120" w:after="120"/>
              <w:jc w:val="both"/>
              <w:rPr>
                <w:rFonts w:asciiTheme="minorHAnsi" w:hAnsiTheme="minorHAnsi"/>
                <w:sz w:val="22"/>
                <w:szCs w:val="22"/>
              </w:rPr>
            </w:pPr>
            <w:r w:rsidRPr="005B2120">
              <w:rPr>
                <w:rFonts w:asciiTheme="minorHAnsi" w:hAnsiTheme="minorHAnsi"/>
                <w:sz w:val="22"/>
                <w:szCs w:val="22"/>
              </w:rPr>
              <w:t>do 31. 12. 2015</w:t>
            </w:r>
          </w:p>
        </w:tc>
      </w:tr>
      <w:tr w:rsidR="00710291" w:rsidRPr="006B443D" w14:paraId="5FE261EA" w14:textId="77777777" w:rsidTr="00710291">
        <w:tc>
          <w:tcPr>
            <w:tcW w:w="833" w:type="pct"/>
            <w:vAlign w:val="center"/>
          </w:tcPr>
          <w:p w14:paraId="3EA1EA98"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64B1ACA6" w14:textId="36F61DD3" w:rsidR="005B2120" w:rsidRPr="007A3F51" w:rsidRDefault="006B449D" w:rsidP="005B2120">
            <w:pPr>
              <w:overflowPunct w:val="0"/>
              <w:autoSpaceDE w:val="0"/>
              <w:autoSpaceDN w:val="0"/>
              <w:adjustRightInd w:val="0"/>
              <w:spacing w:before="120" w:after="120"/>
              <w:jc w:val="both"/>
              <w:textAlignment w:val="baseline"/>
              <w:rPr>
                <w:rFonts w:asciiTheme="minorHAnsi" w:hAnsiTheme="minorHAnsi"/>
                <w:b/>
                <w:sz w:val="22"/>
                <w:szCs w:val="22"/>
              </w:rPr>
            </w:pPr>
            <w:r>
              <w:rPr>
                <w:rFonts w:asciiTheme="minorHAnsi" w:hAnsiTheme="minorHAnsi"/>
                <w:b/>
                <w:sz w:val="22"/>
                <w:szCs w:val="22"/>
              </w:rPr>
              <w:t>Nesplněno</w:t>
            </w:r>
          </w:p>
          <w:p w14:paraId="0F393792" w14:textId="19BFBDB1" w:rsidR="005B2120" w:rsidRPr="000C6A84" w:rsidRDefault="005B2120" w:rsidP="00B87620">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87620">
              <w:rPr>
                <w:rFonts w:asciiTheme="minorHAnsi" w:hAnsiTheme="minorHAnsi"/>
                <w:sz w:val="22"/>
                <w:szCs w:val="22"/>
              </w:rPr>
              <w:t>Na zařazení jaderného paliva do systému státních hmotných rezerv</w:t>
            </w:r>
            <w:r w:rsidR="005D787E">
              <w:rPr>
                <w:rFonts w:asciiTheme="minorHAnsi" w:hAnsiTheme="minorHAnsi"/>
                <w:sz w:val="22"/>
                <w:szCs w:val="22"/>
              </w:rPr>
              <w:t xml:space="preserve"> </w:t>
            </w:r>
            <w:r w:rsidR="00DD4E8A">
              <w:rPr>
                <w:rFonts w:asciiTheme="minorHAnsi" w:hAnsiTheme="minorHAnsi"/>
                <w:sz w:val="22"/>
                <w:szCs w:val="22"/>
              </w:rPr>
              <w:t>nebyla nalezena</w:t>
            </w:r>
            <w:r w:rsidRPr="00B87620">
              <w:rPr>
                <w:rFonts w:asciiTheme="minorHAnsi" w:hAnsiTheme="minorHAnsi"/>
                <w:sz w:val="22"/>
                <w:szCs w:val="22"/>
              </w:rPr>
              <w:t xml:space="preserve"> politická shoda. I v kontextu naplňování Národního akčního plánu rozvoje jaderné energetiky jsou tedy prověřovány další možnosti zajištění zásob jaderného paliva. Úkol uložený SSHR usnesením vlády</w:t>
            </w:r>
            <w:r w:rsidR="0091737B" w:rsidRPr="00B87620">
              <w:rPr>
                <w:rFonts w:asciiTheme="minorHAnsi" w:hAnsiTheme="minorHAnsi"/>
                <w:sz w:val="22"/>
                <w:szCs w:val="22"/>
              </w:rPr>
              <w:t xml:space="preserve"> ČR</w:t>
            </w:r>
            <w:r w:rsidRPr="00B87620">
              <w:rPr>
                <w:rFonts w:asciiTheme="minorHAnsi" w:hAnsiTheme="minorHAnsi"/>
                <w:sz w:val="22"/>
                <w:szCs w:val="22"/>
              </w:rPr>
              <w:t xml:space="preserve"> č. 910 ze dne 23.</w:t>
            </w:r>
            <w:r w:rsidR="002F1E7C" w:rsidRPr="00B87620">
              <w:rPr>
                <w:rFonts w:asciiTheme="minorHAnsi" w:hAnsiTheme="minorHAnsi"/>
                <w:sz w:val="22"/>
                <w:szCs w:val="22"/>
              </w:rPr>
              <w:t> </w:t>
            </w:r>
            <w:r w:rsidRPr="00B87620">
              <w:rPr>
                <w:rFonts w:asciiTheme="minorHAnsi" w:hAnsiTheme="minorHAnsi"/>
                <w:sz w:val="22"/>
                <w:szCs w:val="22"/>
              </w:rPr>
              <w:t>července 2008, k nákupu čerstvého jaderného paliva, nebyl vzhledem k</w:t>
            </w:r>
            <w:r w:rsidR="002F1E7C" w:rsidRPr="00B87620">
              <w:rPr>
                <w:rFonts w:asciiTheme="minorHAnsi" w:hAnsiTheme="minorHAnsi"/>
                <w:sz w:val="22"/>
                <w:szCs w:val="22"/>
              </w:rPr>
              <w:t> </w:t>
            </w:r>
            <w:r w:rsidRPr="00B87620">
              <w:rPr>
                <w:rFonts w:asciiTheme="minorHAnsi" w:hAnsiTheme="minorHAnsi"/>
                <w:sz w:val="22"/>
                <w:szCs w:val="22"/>
              </w:rPr>
              <w:t xml:space="preserve">dostatku finančních prostředků v minulém období realizován a ani v dalším období SSHR neplánuje tyto zásoby vytvářet. Z tohoto důvodu </w:t>
            </w:r>
            <w:r w:rsidR="0091737B" w:rsidRPr="00B87620">
              <w:rPr>
                <w:rFonts w:asciiTheme="minorHAnsi" w:hAnsiTheme="minorHAnsi"/>
                <w:sz w:val="22"/>
                <w:szCs w:val="22"/>
              </w:rPr>
              <w:t xml:space="preserve">bylo usnesením vlády ČR č. 1 145 ze dne 14. prosince 2016 výše uvedené usnesení vlády ČR č. 910 </w:t>
            </w:r>
            <w:r w:rsidR="00050543" w:rsidRPr="005B2120">
              <w:rPr>
                <w:rFonts w:asciiTheme="minorHAnsi" w:hAnsiTheme="minorHAnsi"/>
                <w:sz w:val="22"/>
                <w:szCs w:val="22"/>
              </w:rPr>
              <w:t>ze dne 23. července 2008</w:t>
            </w:r>
            <w:r w:rsidR="00050543">
              <w:rPr>
                <w:rFonts w:asciiTheme="minorHAnsi" w:hAnsiTheme="minorHAnsi"/>
                <w:sz w:val="22"/>
                <w:szCs w:val="22"/>
              </w:rPr>
              <w:t xml:space="preserve"> </w:t>
            </w:r>
            <w:r w:rsidR="0091737B" w:rsidRPr="00B87620">
              <w:rPr>
                <w:rFonts w:asciiTheme="minorHAnsi" w:hAnsiTheme="minorHAnsi"/>
                <w:sz w:val="22"/>
                <w:szCs w:val="22"/>
              </w:rPr>
              <w:t xml:space="preserve">zrušeno, a </w:t>
            </w:r>
            <w:r w:rsidR="00050543">
              <w:rPr>
                <w:rFonts w:asciiTheme="minorHAnsi" w:hAnsiTheme="minorHAnsi"/>
                <w:sz w:val="22"/>
                <w:szCs w:val="22"/>
              </w:rPr>
              <w:t xml:space="preserve">tudíž </w:t>
            </w:r>
            <w:r w:rsidR="0091737B" w:rsidRPr="00B87620">
              <w:rPr>
                <w:rFonts w:asciiTheme="minorHAnsi" w:hAnsiTheme="minorHAnsi"/>
                <w:sz w:val="22"/>
                <w:szCs w:val="22"/>
              </w:rPr>
              <w:t xml:space="preserve">byl </w:t>
            </w:r>
            <w:r w:rsidR="00050543">
              <w:rPr>
                <w:rFonts w:asciiTheme="minorHAnsi" w:hAnsiTheme="minorHAnsi"/>
                <w:sz w:val="22"/>
                <w:szCs w:val="22"/>
              </w:rPr>
              <w:t>zrušen i úkol</w:t>
            </w:r>
            <w:r w:rsidR="0091737B" w:rsidRPr="00B87620">
              <w:rPr>
                <w:rFonts w:asciiTheme="minorHAnsi" w:hAnsiTheme="minorHAnsi"/>
                <w:sz w:val="22"/>
                <w:szCs w:val="22"/>
              </w:rPr>
              <w:t xml:space="preserve"> uložený </w:t>
            </w:r>
            <w:r w:rsidR="00050543">
              <w:rPr>
                <w:rFonts w:asciiTheme="minorHAnsi" w:hAnsiTheme="minorHAnsi"/>
                <w:sz w:val="22"/>
                <w:szCs w:val="22"/>
              </w:rPr>
              <w:t xml:space="preserve">tímto </w:t>
            </w:r>
            <w:r w:rsidR="00050543" w:rsidRPr="000C6A84">
              <w:rPr>
                <w:rFonts w:asciiTheme="minorHAnsi" w:hAnsiTheme="minorHAnsi"/>
                <w:sz w:val="22"/>
                <w:szCs w:val="22"/>
              </w:rPr>
              <w:t xml:space="preserve">usnesením </w:t>
            </w:r>
            <w:r w:rsidR="0091737B" w:rsidRPr="000C6A84">
              <w:rPr>
                <w:rFonts w:asciiTheme="minorHAnsi" w:hAnsiTheme="minorHAnsi"/>
                <w:sz w:val="22"/>
                <w:szCs w:val="22"/>
              </w:rPr>
              <w:t>SSHR.</w:t>
            </w:r>
          </w:p>
          <w:p w14:paraId="211598A9" w14:textId="3BB0A58E" w:rsidR="005B2120" w:rsidRPr="000C6A84" w:rsidRDefault="005B2120" w:rsidP="00577B99">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0C6A84">
              <w:rPr>
                <w:rFonts w:asciiTheme="minorHAnsi" w:hAnsiTheme="minorHAnsi"/>
                <w:sz w:val="22"/>
                <w:szCs w:val="22"/>
              </w:rPr>
              <w:t xml:space="preserve">Plnění </w:t>
            </w:r>
            <w:r w:rsidR="0015432C">
              <w:rPr>
                <w:rFonts w:asciiTheme="minorHAnsi" w:hAnsiTheme="minorHAnsi"/>
                <w:sz w:val="22"/>
                <w:szCs w:val="22"/>
              </w:rPr>
              <w:t>nástroje</w:t>
            </w:r>
            <w:r w:rsidRPr="000C6A84">
              <w:rPr>
                <w:rFonts w:asciiTheme="minorHAnsi" w:hAnsiTheme="minorHAnsi"/>
                <w:sz w:val="22"/>
                <w:szCs w:val="22"/>
              </w:rPr>
              <w:t xml:space="preserve"> </w:t>
            </w:r>
            <w:r w:rsidR="00577B99" w:rsidRPr="00577B99">
              <w:rPr>
                <w:rFonts w:asciiTheme="minorHAnsi" w:hAnsiTheme="minorHAnsi"/>
                <w:sz w:val="22"/>
                <w:szCs w:val="22"/>
              </w:rPr>
              <w:t>v oblasti zásob jaderného paliva</w:t>
            </w:r>
            <w:r w:rsidR="00577B99">
              <w:rPr>
                <w:rFonts w:asciiTheme="minorHAnsi" w:hAnsiTheme="minorHAnsi"/>
                <w:sz w:val="22"/>
                <w:szCs w:val="22"/>
              </w:rPr>
              <w:t xml:space="preserve"> také</w:t>
            </w:r>
            <w:r w:rsidR="00577B99" w:rsidRPr="00577B99">
              <w:rPr>
                <w:rFonts w:asciiTheme="minorHAnsi" w:hAnsiTheme="minorHAnsi"/>
                <w:sz w:val="22"/>
                <w:szCs w:val="22"/>
              </w:rPr>
              <w:t xml:space="preserve"> </w:t>
            </w:r>
            <w:r w:rsidRPr="000C6A84">
              <w:rPr>
                <w:rFonts w:asciiTheme="minorHAnsi" w:hAnsiTheme="minorHAnsi"/>
                <w:sz w:val="22"/>
                <w:szCs w:val="22"/>
              </w:rPr>
              <w:t xml:space="preserve">úzce souvisí s opatřením vymezeným v Národním akčním plánu rozvoje jaderné energetiky v ČR, </w:t>
            </w:r>
            <w:r w:rsidR="00C90694" w:rsidRPr="00C90694">
              <w:rPr>
                <w:rFonts w:asciiTheme="minorHAnsi" w:hAnsiTheme="minorHAnsi"/>
                <w:sz w:val="22"/>
                <w:szCs w:val="22"/>
              </w:rPr>
              <w:t>na jehož základě byla zpracována analýza možných postupů zajištění zásob jaderného paliva v rozsahu stanoveném ve Státní energetické koncepci ČR. V návaznosti na tuto analýzu byla připravena metodika zajištění zásob jaderného paliva, která bude předložena ke schválení Stálému výboru pro jadernou energetiku a jejíž charakter bude doporučující.</w:t>
            </w:r>
          </w:p>
          <w:p w14:paraId="548E3CD9" w14:textId="1C7F239B" w:rsidR="005B2120" w:rsidRDefault="005B2120" w:rsidP="00577B99">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0C6A84">
              <w:rPr>
                <w:rFonts w:asciiTheme="minorHAnsi" w:hAnsiTheme="minorHAnsi"/>
                <w:sz w:val="22"/>
                <w:szCs w:val="22"/>
              </w:rPr>
              <w:t xml:space="preserve">Společnost ČEZ, a.s., přijala </w:t>
            </w:r>
            <w:r w:rsidR="00577B99">
              <w:rPr>
                <w:rFonts w:asciiTheme="minorHAnsi" w:hAnsiTheme="minorHAnsi"/>
                <w:sz w:val="22"/>
                <w:szCs w:val="22"/>
              </w:rPr>
              <w:t xml:space="preserve">některá </w:t>
            </w:r>
            <w:r w:rsidRPr="000C6A84">
              <w:rPr>
                <w:rFonts w:asciiTheme="minorHAnsi" w:hAnsiTheme="minorHAnsi"/>
                <w:sz w:val="22"/>
                <w:szCs w:val="22"/>
              </w:rPr>
              <w:t xml:space="preserve">dílčí opatření k dodatečnému zajištění zásob jaderného paliva v souladu s opatřeními v SEK. </w:t>
            </w:r>
            <w:r w:rsidR="00577B99">
              <w:rPr>
                <w:rFonts w:asciiTheme="minorHAnsi" w:hAnsiTheme="minorHAnsi"/>
                <w:sz w:val="22"/>
                <w:szCs w:val="22"/>
              </w:rPr>
              <w:t>Pro elektrárnu</w:t>
            </w:r>
            <w:r w:rsidRPr="000C6A84">
              <w:rPr>
                <w:rFonts w:asciiTheme="minorHAnsi" w:hAnsiTheme="minorHAnsi"/>
                <w:sz w:val="22"/>
                <w:szCs w:val="22"/>
              </w:rPr>
              <w:t xml:space="preserve"> Dukovany jsou uzavřeny dodatky, podle kterých dojde k navýšení stávající zásob paliva o 4 překládky do roku 2018 a o další 4 do roku 2021. Cílovým stavem tedy </w:t>
            </w:r>
            <w:r w:rsidR="00577B99">
              <w:rPr>
                <w:rFonts w:asciiTheme="minorHAnsi" w:hAnsiTheme="minorHAnsi"/>
                <w:sz w:val="22"/>
                <w:szCs w:val="22"/>
              </w:rPr>
              <w:t>bude zajištění</w:t>
            </w:r>
            <w:r w:rsidRPr="000C6A84">
              <w:rPr>
                <w:rFonts w:asciiTheme="minorHAnsi" w:hAnsiTheme="minorHAnsi"/>
                <w:sz w:val="22"/>
                <w:szCs w:val="22"/>
              </w:rPr>
              <w:t xml:space="preserve"> </w:t>
            </w:r>
            <w:r w:rsidR="00577B99" w:rsidRPr="000C6A84">
              <w:rPr>
                <w:rFonts w:asciiTheme="minorHAnsi" w:hAnsiTheme="minorHAnsi"/>
                <w:sz w:val="22"/>
                <w:szCs w:val="22"/>
              </w:rPr>
              <w:t>12</w:t>
            </w:r>
            <w:r w:rsidRPr="000C6A84">
              <w:rPr>
                <w:rFonts w:asciiTheme="minorHAnsi" w:hAnsiTheme="minorHAnsi"/>
                <w:sz w:val="22"/>
                <w:szCs w:val="22"/>
              </w:rPr>
              <w:t xml:space="preserve"> zásobních překládek o</w:t>
            </w:r>
            <w:r w:rsidR="00577B99">
              <w:rPr>
                <w:rFonts w:asciiTheme="minorHAnsi" w:hAnsiTheme="minorHAnsi"/>
                <w:sz w:val="22"/>
                <w:szCs w:val="22"/>
              </w:rPr>
              <w:t>d</w:t>
            </w:r>
            <w:r w:rsidRPr="000C6A84">
              <w:rPr>
                <w:rFonts w:asciiTheme="minorHAnsi" w:hAnsiTheme="minorHAnsi"/>
                <w:sz w:val="22"/>
                <w:szCs w:val="22"/>
              </w:rPr>
              <w:t xml:space="preserve"> roku 2021, což bude umožňovat </w:t>
            </w:r>
            <w:r w:rsidR="00577B99">
              <w:rPr>
                <w:rFonts w:asciiTheme="minorHAnsi" w:hAnsiTheme="minorHAnsi"/>
                <w:sz w:val="22"/>
                <w:szCs w:val="22"/>
              </w:rPr>
              <w:t>čtyř</w:t>
            </w:r>
            <w:r w:rsidRPr="000C6A84">
              <w:rPr>
                <w:rFonts w:asciiTheme="minorHAnsi" w:hAnsiTheme="minorHAnsi"/>
                <w:sz w:val="22"/>
                <w:szCs w:val="22"/>
              </w:rPr>
              <w:t xml:space="preserve">letý provoz všech 4 reaktorů. </w:t>
            </w:r>
            <w:r w:rsidR="00CE19C7">
              <w:rPr>
                <w:rFonts w:asciiTheme="minorHAnsi" w:hAnsiTheme="minorHAnsi"/>
                <w:sz w:val="22"/>
                <w:szCs w:val="22"/>
              </w:rPr>
              <w:t>Pro e</w:t>
            </w:r>
            <w:r w:rsidR="00577B99" w:rsidRPr="00577B99">
              <w:rPr>
                <w:rFonts w:asciiTheme="minorHAnsi" w:hAnsiTheme="minorHAnsi"/>
                <w:sz w:val="22"/>
                <w:szCs w:val="22"/>
              </w:rPr>
              <w:t>lektrárn</w:t>
            </w:r>
            <w:r w:rsidR="00CE19C7">
              <w:rPr>
                <w:rFonts w:asciiTheme="minorHAnsi" w:hAnsiTheme="minorHAnsi"/>
                <w:sz w:val="22"/>
                <w:szCs w:val="22"/>
              </w:rPr>
              <w:t>u</w:t>
            </w:r>
            <w:r w:rsidR="00577B99" w:rsidRPr="00577B99">
              <w:rPr>
                <w:rFonts w:asciiTheme="minorHAnsi" w:hAnsiTheme="minorHAnsi"/>
                <w:sz w:val="22"/>
                <w:szCs w:val="22"/>
              </w:rPr>
              <w:t xml:space="preserve"> Temelín bude od roku 2024 zajištěn</w:t>
            </w:r>
            <w:r w:rsidR="00CE19C7">
              <w:rPr>
                <w:rFonts w:asciiTheme="minorHAnsi" w:hAnsiTheme="minorHAnsi"/>
                <w:sz w:val="22"/>
                <w:szCs w:val="22"/>
              </w:rPr>
              <w:t>a</w:t>
            </w:r>
            <w:r w:rsidR="00577B99" w:rsidRPr="00577B99">
              <w:rPr>
                <w:rFonts w:asciiTheme="minorHAnsi" w:hAnsiTheme="minorHAnsi"/>
                <w:sz w:val="22"/>
                <w:szCs w:val="22"/>
              </w:rPr>
              <w:t xml:space="preserve"> stabilizovan</w:t>
            </w:r>
            <w:r w:rsidR="00CE19C7">
              <w:rPr>
                <w:rFonts w:asciiTheme="minorHAnsi" w:hAnsiTheme="minorHAnsi"/>
                <w:sz w:val="22"/>
                <w:szCs w:val="22"/>
              </w:rPr>
              <w:t>á</w:t>
            </w:r>
            <w:r w:rsidR="007F224C">
              <w:rPr>
                <w:rFonts w:asciiTheme="minorHAnsi" w:hAnsiTheme="minorHAnsi"/>
                <w:sz w:val="22"/>
                <w:szCs w:val="22"/>
              </w:rPr>
              <w:t xml:space="preserve"> dodávk</w:t>
            </w:r>
            <w:r w:rsidR="00CE19C7">
              <w:rPr>
                <w:rFonts w:asciiTheme="minorHAnsi" w:hAnsiTheme="minorHAnsi"/>
                <w:sz w:val="22"/>
                <w:szCs w:val="22"/>
              </w:rPr>
              <w:t>a</w:t>
            </w:r>
            <w:r w:rsidR="007F224C">
              <w:rPr>
                <w:rFonts w:asciiTheme="minorHAnsi" w:hAnsiTheme="minorHAnsi"/>
                <w:sz w:val="22"/>
                <w:szCs w:val="22"/>
              </w:rPr>
              <w:t xml:space="preserve"> paliva od dodavatele </w:t>
            </w:r>
            <w:r w:rsidR="00CE19C7">
              <w:rPr>
                <w:rFonts w:asciiTheme="minorHAnsi" w:hAnsiTheme="minorHAnsi"/>
                <w:sz w:val="22"/>
                <w:szCs w:val="22"/>
              </w:rPr>
              <w:t>zvoleného</w:t>
            </w:r>
            <w:r w:rsidR="007F224C">
              <w:rPr>
                <w:rFonts w:asciiTheme="minorHAnsi" w:hAnsiTheme="minorHAnsi"/>
                <w:sz w:val="22"/>
                <w:szCs w:val="22"/>
              </w:rPr>
              <w:t xml:space="preserve"> ve </w:t>
            </w:r>
            <w:r w:rsidR="00577B99" w:rsidRPr="00577B99">
              <w:rPr>
                <w:rFonts w:asciiTheme="minorHAnsi" w:hAnsiTheme="minorHAnsi"/>
                <w:sz w:val="22"/>
                <w:szCs w:val="22"/>
              </w:rPr>
              <w:t>výběrové</w:t>
            </w:r>
            <w:r w:rsidR="007F224C">
              <w:rPr>
                <w:rFonts w:asciiTheme="minorHAnsi" w:hAnsiTheme="minorHAnsi"/>
                <w:sz w:val="22"/>
                <w:szCs w:val="22"/>
              </w:rPr>
              <w:t>m řízení, které je v současné době připravováno</w:t>
            </w:r>
            <w:r w:rsidR="00577B99" w:rsidRPr="00577B99">
              <w:rPr>
                <w:rFonts w:asciiTheme="minorHAnsi" w:hAnsiTheme="minorHAnsi"/>
                <w:sz w:val="22"/>
                <w:szCs w:val="22"/>
              </w:rPr>
              <w:t xml:space="preserve">. Toto palivo bude plně kompatibilní se stávajícím používaným palivem a zároveň bude připraveno </w:t>
            </w:r>
            <w:r w:rsidR="00CE19C7">
              <w:rPr>
                <w:rFonts w:asciiTheme="minorHAnsi" w:hAnsiTheme="minorHAnsi"/>
                <w:sz w:val="22"/>
                <w:szCs w:val="22"/>
              </w:rPr>
              <w:t>také</w:t>
            </w:r>
            <w:r w:rsidR="00577B99" w:rsidRPr="00577B99">
              <w:rPr>
                <w:rFonts w:asciiTheme="minorHAnsi" w:hAnsiTheme="minorHAnsi"/>
                <w:sz w:val="22"/>
                <w:szCs w:val="22"/>
              </w:rPr>
              <w:t xml:space="preserve"> pro provoz ve směsných zónách dvou potenciálních dodavatelů</w:t>
            </w:r>
            <w:r w:rsidR="006150E1">
              <w:rPr>
                <w:rFonts w:asciiTheme="minorHAnsi" w:hAnsiTheme="minorHAnsi"/>
                <w:sz w:val="22"/>
                <w:szCs w:val="22"/>
              </w:rPr>
              <w:t xml:space="preserve"> umožňující</w:t>
            </w:r>
            <w:r w:rsidR="00CE19C7">
              <w:rPr>
                <w:rFonts w:asciiTheme="minorHAnsi" w:hAnsiTheme="minorHAnsi"/>
                <w:sz w:val="22"/>
                <w:szCs w:val="22"/>
              </w:rPr>
              <w:t xml:space="preserve"> </w:t>
            </w:r>
            <w:r w:rsidR="00577B99" w:rsidRPr="00577B99">
              <w:rPr>
                <w:rFonts w:asciiTheme="minorHAnsi" w:hAnsiTheme="minorHAnsi"/>
                <w:sz w:val="22"/>
                <w:szCs w:val="22"/>
              </w:rPr>
              <w:t>operativní</w:t>
            </w:r>
            <w:r w:rsidR="00CE19C7">
              <w:rPr>
                <w:rFonts w:asciiTheme="minorHAnsi" w:hAnsiTheme="minorHAnsi"/>
                <w:sz w:val="22"/>
                <w:szCs w:val="22"/>
              </w:rPr>
              <w:t xml:space="preserve"> </w:t>
            </w:r>
            <w:r w:rsidR="00577B99" w:rsidRPr="00577B99">
              <w:rPr>
                <w:rFonts w:asciiTheme="minorHAnsi" w:hAnsiTheme="minorHAnsi"/>
                <w:sz w:val="22"/>
                <w:szCs w:val="22"/>
              </w:rPr>
              <w:t>přechod na alternativního dodavatele. Cílovým stavem tedy bude zajištění 2 zásobní</w:t>
            </w:r>
            <w:r w:rsidR="00CE19C7">
              <w:rPr>
                <w:rFonts w:asciiTheme="minorHAnsi" w:hAnsiTheme="minorHAnsi"/>
                <w:sz w:val="22"/>
                <w:szCs w:val="22"/>
              </w:rPr>
              <w:t xml:space="preserve">ch překládek od roku 2024 </w:t>
            </w:r>
            <w:r w:rsidR="006150E1">
              <w:rPr>
                <w:rFonts w:asciiTheme="minorHAnsi" w:hAnsiTheme="minorHAnsi"/>
                <w:sz w:val="22"/>
                <w:szCs w:val="22"/>
              </w:rPr>
              <w:t xml:space="preserve">a současně </w:t>
            </w:r>
            <w:r w:rsidR="00CE19C7">
              <w:rPr>
                <w:rFonts w:asciiTheme="minorHAnsi" w:hAnsiTheme="minorHAnsi"/>
                <w:sz w:val="22"/>
                <w:szCs w:val="22"/>
              </w:rPr>
              <w:t xml:space="preserve">existence </w:t>
            </w:r>
            <w:r w:rsidR="00577B99" w:rsidRPr="00577B99">
              <w:rPr>
                <w:rFonts w:asciiTheme="minorHAnsi" w:hAnsiTheme="minorHAnsi"/>
                <w:sz w:val="22"/>
                <w:szCs w:val="22"/>
              </w:rPr>
              <w:t>možn</w:t>
            </w:r>
            <w:r w:rsidR="00CE19C7">
              <w:rPr>
                <w:rFonts w:asciiTheme="minorHAnsi" w:hAnsiTheme="minorHAnsi"/>
                <w:sz w:val="22"/>
                <w:szCs w:val="22"/>
              </w:rPr>
              <w:t>osti</w:t>
            </w:r>
            <w:r w:rsidR="00577B99" w:rsidRPr="00577B99">
              <w:rPr>
                <w:rFonts w:asciiTheme="minorHAnsi" w:hAnsiTheme="minorHAnsi"/>
                <w:sz w:val="22"/>
                <w:szCs w:val="22"/>
              </w:rPr>
              <w:t xml:space="preserve"> operativního přechodu na</w:t>
            </w:r>
            <w:r w:rsidR="007F224C">
              <w:rPr>
                <w:rFonts w:asciiTheme="minorHAnsi" w:hAnsiTheme="minorHAnsi"/>
                <w:sz w:val="22"/>
                <w:szCs w:val="22"/>
              </w:rPr>
              <w:t xml:space="preserve"> </w:t>
            </w:r>
            <w:r w:rsidR="00CE19C7">
              <w:rPr>
                <w:rFonts w:asciiTheme="minorHAnsi" w:hAnsiTheme="minorHAnsi"/>
                <w:sz w:val="22"/>
                <w:szCs w:val="22"/>
              </w:rPr>
              <w:t>alternativního</w:t>
            </w:r>
            <w:r w:rsidR="00577B99" w:rsidRPr="00577B99">
              <w:rPr>
                <w:rFonts w:asciiTheme="minorHAnsi" w:hAnsiTheme="minorHAnsi"/>
                <w:sz w:val="22"/>
                <w:szCs w:val="22"/>
              </w:rPr>
              <w:t xml:space="preserve"> dodavatele kvalifikovaného paliva, což umož</w:t>
            </w:r>
            <w:r w:rsidR="006150E1">
              <w:rPr>
                <w:rFonts w:asciiTheme="minorHAnsi" w:hAnsiTheme="minorHAnsi"/>
                <w:sz w:val="22"/>
                <w:szCs w:val="22"/>
              </w:rPr>
              <w:t>ní</w:t>
            </w:r>
            <w:r w:rsidR="00577B99" w:rsidRPr="00577B99">
              <w:rPr>
                <w:rFonts w:asciiTheme="minorHAnsi" w:hAnsiTheme="minorHAnsi"/>
                <w:sz w:val="22"/>
                <w:szCs w:val="22"/>
              </w:rPr>
              <w:t xml:space="preserve"> dlouhodobý stabilní provoz obou reaktorů.</w:t>
            </w:r>
          </w:p>
          <w:p w14:paraId="374DB54C" w14:textId="52F64DEE" w:rsidR="006B449D" w:rsidRPr="006B449D" w:rsidRDefault="006B449D" w:rsidP="006B449D">
            <w:pPr>
              <w:overflowPunct w:val="0"/>
              <w:autoSpaceDE w:val="0"/>
              <w:autoSpaceDN w:val="0"/>
              <w:adjustRightInd w:val="0"/>
              <w:spacing w:before="120" w:after="120"/>
              <w:jc w:val="both"/>
              <w:textAlignment w:val="baseline"/>
              <w:rPr>
                <w:rFonts w:asciiTheme="minorHAnsi" w:hAnsiTheme="minorHAnsi"/>
                <w:b/>
                <w:sz w:val="22"/>
                <w:szCs w:val="22"/>
              </w:rPr>
            </w:pPr>
            <w:r w:rsidRPr="006B449D">
              <w:rPr>
                <w:rFonts w:asciiTheme="minorHAnsi" w:hAnsiTheme="minorHAnsi"/>
                <w:b/>
                <w:sz w:val="22"/>
                <w:szCs w:val="22"/>
              </w:rPr>
              <w:t>Plnění probíhá</w:t>
            </w:r>
          </w:p>
          <w:p w14:paraId="6FC1262C" w14:textId="308F1EE8" w:rsidR="00710291" w:rsidRPr="00A76FE4" w:rsidRDefault="005B2120" w:rsidP="004C1B67">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5547AE">
              <w:rPr>
                <w:rFonts w:asciiTheme="minorHAnsi" w:hAnsiTheme="minorHAnsi"/>
                <w:sz w:val="22"/>
                <w:szCs w:val="22"/>
              </w:rPr>
              <w:t xml:space="preserve">Cílem </w:t>
            </w:r>
            <w:r w:rsidR="005F3C48" w:rsidRPr="005547AE">
              <w:rPr>
                <w:rFonts w:asciiTheme="minorHAnsi" w:hAnsiTheme="minorHAnsi"/>
                <w:sz w:val="22"/>
                <w:szCs w:val="22"/>
              </w:rPr>
              <w:t>nástroje v oblasti</w:t>
            </w:r>
            <w:r w:rsidRPr="005547AE">
              <w:rPr>
                <w:rFonts w:asciiTheme="minorHAnsi" w:hAnsiTheme="minorHAnsi"/>
                <w:sz w:val="22"/>
                <w:szCs w:val="22"/>
              </w:rPr>
              <w:t xml:space="preserve"> revi</w:t>
            </w:r>
            <w:r w:rsidR="005F3C48" w:rsidRPr="005547AE">
              <w:rPr>
                <w:rFonts w:asciiTheme="minorHAnsi" w:hAnsiTheme="minorHAnsi"/>
                <w:sz w:val="22"/>
                <w:szCs w:val="22"/>
              </w:rPr>
              <w:t>ze</w:t>
            </w:r>
            <w:r w:rsidRPr="005547AE">
              <w:rPr>
                <w:rFonts w:asciiTheme="minorHAnsi" w:hAnsiTheme="minorHAnsi"/>
                <w:sz w:val="22"/>
                <w:szCs w:val="22"/>
              </w:rPr>
              <w:t xml:space="preserve"> model</w:t>
            </w:r>
            <w:r w:rsidR="005F3C48" w:rsidRPr="005547AE">
              <w:rPr>
                <w:rFonts w:asciiTheme="minorHAnsi" w:hAnsiTheme="minorHAnsi"/>
                <w:sz w:val="22"/>
                <w:szCs w:val="22"/>
              </w:rPr>
              <w:t>u</w:t>
            </w:r>
            <w:r w:rsidRPr="005547AE">
              <w:rPr>
                <w:rFonts w:asciiTheme="minorHAnsi" w:hAnsiTheme="minorHAnsi"/>
                <w:sz w:val="22"/>
                <w:szCs w:val="22"/>
              </w:rPr>
              <w:t xml:space="preserve"> státních hmotných rezerv v oblasti ropy je rozšířit strukturu a objem</w:t>
            </w:r>
            <w:r w:rsidR="005547AE" w:rsidRPr="005547AE">
              <w:rPr>
                <w:rFonts w:asciiTheme="minorHAnsi" w:hAnsiTheme="minorHAnsi"/>
                <w:sz w:val="22"/>
                <w:szCs w:val="22"/>
              </w:rPr>
              <w:t xml:space="preserve"> nouzových zásob ropy </w:t>
            </w:r>
            <w:r w:rsidR="00D64751">
              <w:rPr>
                <w:rFonts w:asciiTheme="minorHAnsi" w:hAnsiTheme="minorHAnsi"/>
                <w:sz w:val="22"/>
                <w:szCs w:val="22"/>
              </w:rPr>
              <w:t>nebo</w:t>
            </w:r>
            <w:r w:rsidR="005547AE" w:rsidRPr="005547AE">
              <w:rPr>
                <w:rFonts w:asciiTheme="minorHAnsi" w:hAnsiTheme="minorHAnsi"/>
                <w:sz w:val="22"/>
                <w:szCs w:val="22"/>
              </w:rPr>
              <w:t xml:space="preserve"> ropných produk</w:t>
            </w:r>
            <w:r w:rsidR="005547AE">
              <w:rPr>
                <w:rFonts w:asciiTheme="minorHAnsi" w:hAnsiTheme="minorHAnsi"/>
                <w:sz w:val="22"/>
                <w:szCs w:val="22"/>
              </w:rPr>
              <w:t>t</w:t>
            </w:r>
            <w:r w:rsidR="005547AE" w:rsidRPr="005547AE">
              <w:rPr>
                <w:rFonts w:asciiTheme="minorHAnsi" w:hAnsiTheme="minorHAnsi"/>
                <w:sz w:val="22"/>
                <w:szCs w:val="22"/>
              </w:rPr>
              <w:t xml:space="preserve">ů. </w:t>
            </w:r>
            <w:r w:rsidRPr="005547AE">
              <w:rPr>
                <w:rFonts w:asciiTheme="minorHAnsi" w:hAnsiTheme="minorHAnsi"/>
                <w:sz w:val="22"/>
                <w:szCs w:val="22"/>
              </w:rPr>
              <w:t xml:space="preserve"> </w:t>
            </w:r>
            <w:r w:rsidRPr="00A76FE4">
              <w:rPr>
                <w:rFonts w:asciiTheme="minorHAnsi" w:hAnsiTheme="minorHAnsi"/>
                <w:sz w:val="22"/>
                <w:szCs w:val="22"/>
              </w:rPr>
              <w:t>V</w:t>
            </w:r>
            <w:r w:rsidR="002F1E7C" w:rsidRPr="00A76FE4">
              <w:rPr>
                <w:rFonts w:asciiTheme="minorHAnsi" w:hAnsiTheme="minorHAnsi"/>
                <w:sz w:val="22"/>
                <w:szCs w:val="22"/>
              </w:rPr>
              <w:t> </w:t>
            </w:r>
            <w:r w:rsidRPr="00A76FE4">
              <w:rPr>
                <w:rFonts w:asciiTheme="minorHAnsi" w:hAnsiTheme="minorHAnsi"/>
                <w:sz w:val="22"/>
                <w:szCs w:val="22"/>
              </w:rPr>
              <w:t xml:space="preserve">tomto směru byl na jednání Bezpečnostní rady státu dne 22. července 2016 akceptován návrh ministra financí, aby SSHR vypracovala a předložila koncepci </w:t>
            </w:r>
            <w:r w:rsidRPr="00A76FE4">
              <w:rPr>
                <w:rFonts w:asciiTheme="minorHAnsi" w:hAnsiTheme="minorHAnsi"/>
                <w:sz w:val="22"/>
                <w:szCs w:val="22"/>
              </w:rPr>
              <w:lastRenderedPageBreak/>
              <w:t>objemu a struktury povinných ropných zásob.</w:t>
            </w:r>
            <w:r w:rsidR="00050543" w:rsidRPr="00A76FE4">
              <w:rPr>
                <w:rFonts w:asciiTheme="minorHAnsi" w:hAnsiTheme="minorHAnsi"/>
                <w:sz w:val="22"/>
                <w:szCs w:val="22"/>
              </w:rPr>
              <w:t xml:space="preserve"> SSHR</w:t>
            </w:r>
            <w:r w:rsidR="00576228" w:rsidRPr="00A76FE4">
              <w:rPr>
                <w:rFonts w:asciiTheme="minorHAnsi" w:hAnsiTheme="minorHAnsi"/>
                <w:sz w:val="22"/>
                <w:szCs w:val="22"/>
              </w:rPr>
              <w:t xml:space="preserve"> tak</w:t>
            </w:r>
            <w:r w:rsidR="00050543" w:rsidRPr="00A76FE4">
              <w:rPr>
                <w:rFonts w:asciiTheme="minorHAnsi" w:hAnsiTheme="minorHAnsi"/>
                <w:sz w:val="22"/>
                <w:szCs w:val="22"/>
              </w:rPr>
              <w:t xml:space="preserve"> připravila dokument</w:t>
            </w:r>
            <w:r w:rsidR="00576228" w:rsidRPr="00A76FE4">
              <w:rPr>
                <w:rFonts w:asciiTheme="minorHAnsi" w:hAnsiTheme="minorHAnsi"/>
                <w:sz w:val="22"/>
                <w:szCs w:val="22"/>
              </w:rPr>
              <w:t xml:space="preserve"> s</w:t>
            </w:r>
            <w:r w:rsidR="00D64751">
              <w:rPr>
                <w:rFonts w:asciiTheme="minorHAnsi" w:hAnsiTheme="minorHAnsi"/>
                <w:sz w:val="22"/>
                <w:szCs w:val="22"/>
              </w:rPr>
              <w:t> </w:t>
            </w:r>
            <w:r w:rsidR="00576228" w:rsidRPr="00A76FE4">
              <w:rPr>
                <w:rFonts w:asciiTheme="minorHAnsi" w:hAnsiTheme="minorHAnsi"/>
                <w:sz w:val="22"/>
                <w:szCs w:val="22"/>
              </w:rPr>
              <w:t>názvem</w:t>
            </w:r>
            <w:r w:rsidR="00050543" w:rsidRPr="00A76FE4">
              <w:rPr>
                <w:rFonts w:asciiTheme="minorHAnsi" w:hAnsiTheme="minorHAnsi"/>
                <w:sz w:val="22"/>
                <w:szCs w:val="22"/>
              </w:rPr>
              <w:t xml:space="preserve"> „Strategie SSHR pro oblast nouzových zásob ropy a ropných produktů do roku 2030“, který byl vládě ČR předložen </w:t>
            </w:r>
            <w:r w:rsidR="007D24A9" w:rsidRPr="00A76FE4">
              <w:rPr>
                <w:rFonts w:asciiTheme="minorHAnsi" w:hAnsiTheme="minorHAnsi"/>
                <w:sz w:val="22"/>
                <w:szCs w:val="22"/>
              </w:rPr>
              <w:t xml:space="preserve">na jednání </w:t>
            </w:r>
            <w:r w:rsidR="00050543" w:rsidRPr="00A76FE4">
              <w:rPr>
                <w:rFonts w:asciiTheme="minorHAnsi" w:hAnsiTheme="minorHAnsi"/>
                <w:sz w:val="22"/>
                <w:szCs w:val="22"/>
              </w:rPr>
              <w:t>dne 26. června 2017 jako příloha materiálu s názvem</w:t>
            </w:r>
            <w:r w:rsidR="001D537F" w:rsidRPr="00A76FE4">
              <w:rPr>
                <w:rFonts w:asciiTheme="minorHAnsi" w:hAnsiTheme="minorHAnsi"/>
                <w:sz w:val="22"/>
                <w:szCs w:val="22"/>
              </w:rPr>
              <w:t xml:space="preserve"> „</w:t>
            </w:r>
            <w:r w:rsidR="007D24A9" w:rsidRPr="00A76FE4">
              <w:rPr>
                <w:rFonts w:asciiTheme="minorHAnsi" w:hAnsiTheme="minorHAnsi"/>
                <w:sz w:val="22"/>
                <w:szCs w:val="22"/>
              </w:rPr>
              <w:t>Z</w:t>
            </w:r>
            <w:r w:rsidR="001D537F" w:rsidRPr="00A76FE4">
              <w:rPr>
                <w:rFonts w:asciiTheme="minorHAnsi" w:hAnsiTheme="minorHAnsi"/>
                <w:sz w:val="22"/>
                <w:szCs w:val="22"/>
              </w:rPr>
              <w:t xml:space="preserve">výšení nouzových zásob ropy a ropných </w:t>
            </w:r>
            <w:r w:rsidR="00050543" w:rsidRPr="00A76FE4">
              <w:rPr>
                <w:rFonts w:asciiTheme="minorHAnsi" w:hAnsiTheme="minorHAnsi"/>
                <w:sz w:val="22"/>
                <w:szCs w:val="22"/>
              </w:rPr>
              <w:t>produktů“. Pro</w:t>
            </w:r>
            <w:r w:rsidR="001D537F" w:rsidRPr="00A76FE4">
              <w:rPr>
                <w:rFonts w:asciiTheme="minorHAnsi" w:hAnsiTheme="minorHAnsi"/>
                <w:sz w:val="22"/>
                <w:szCs w:val="22"/>
              </w:rPr>
              <w:t xml:space="preserve"> zdrženlivé stanovisko re</w:t>
            </w:r>
            <w:r w:rsidR="00050543" w:rsidRPr="00A76FE4">
              <w:rPr>
                <w:rFonts w:asciiTheme="minorHAnsi" w:hAnsiTheme="minorHAnsi"/>
                <w:sz w:val="22"/>
                <w:szCs w:val="22"/>
              </w:rPr>
              <w:t>s</w:t>
            </w:r>
            <w:r w:rsidR="001D537F" w:rsidRPr="00A76FE4">
              <w:rPr>
                <w:rFonts w:asciiTheme="minorHAnsi" w:hAnsiTheme="minorHAnsi"/>
                <w:sz w:val="22"/>
                <w:szCs w:val="22"/>
              </w:rPr>
              <w:t>ortů financí, životního prostředí, dopravy, spravedlnosti a obrany nebylo rozhodnuto o</w:t>
            </w:r>
            <w:r w:rsidR="00576228" w:rsidRPr="00A76FE4">
              <w:rPr>
                <w:rFonts w:asciiTheme="minorHAnsi" w:hAnsiTheme="minorHAnsi"/>
                <w:sz w:val="22"/>
                <w:szCs w:val="22"/>
              </w:rPr>
              <w:t> </w:t>
            </w:r>
            <w:r w:rsidR="001D537F" w:rsidRPr="00A76FE4">
              <w:rPr>
                <w:rFonts w:asciiTheme="minorHAnsi" w:hAnsiTheme="minorHAnsi"/>
                <w:sz w:val="22"/>
                <w:szCs w:val="22"/>
              </w:rPr>
              <w:t>nákupu ropy nebo ropných produktů</w:t>
            </w:r>
            <w:r w:rsidR="00A76FE4" w:rsidRPr="00A76FE4">
              <w:rPr>
                <w:rFonts w:asciiTheme="minorHAnsi" w:hAnsiTheme="minorHAnsi"/>
                <w:sz w:val="22"/>
                <w:szCs w:val="22"/>
              </w:rPr>
              <w:t>, a to ani přes nepříznivý stav v oblasti plnění zákonem stanovené hranice na úrovni 90 denních zásob</w:t>
            </w:r>
            <w:r w:rsidR="00D92135" w:rsidRPr="00A76FE4">
              <w:rPr>
                <w:rFonts w:asciiTheme="minorHAnsi" w:hAnsiTheme="minorHAnsi"/>
                <w:sz w:val="22"/>
                <w:szCs w:val="22"/>
              </w:rPr>
              <w:t>.</w:t>
            </w:r>
            <w:r w:rsidR="00FD3767">
              <w:rPr>
                <w:rFonts w:asciiTheme="minorHAnsi" w:hAnsiTheme="minorHAnsi"/>
                <w:sz w:val="22"/>
                <w:szCs w:val="22"/>
              </w:rPr>
              <w:t xml:space="preserve"> </w:t>
            </w:r>
            <w:r w:rsidR="00D64751">
              <w:rPr>
                <w:rFonts w:asciiTheme="minorHAnsi" w:hAnsiTheme="minorHAnsi"/>
                <w:sz w:val="22"/>
                <w:szCs w:val="22"/>
              </w:rPr>
              <w:t xml:space="preserve">V rámci dalšího postupu </w:t>
            </w:r>
            <w:r w:rsidR="00FD3767" w:rsidRPr="005547AE">
              <w:rPr>
                <w:rFonts w:asciiTheme="minorHAnsi" w:hAnsiTheme="minorHAnsi"/>
                <w:sz w:val="22"/>
                <w:szCs w:val="22"/>
              </w:rPr>
              <w:t>SSHR</w:t>
            </w:r>
            <w:r w:rsidR="00D64751">
              <w:rPr>
                <w:rFonts w:asciiTheme="minorHAnsi" w:hAnsiTheme="minorHAnsi"/>
                <w:sz w:val="22"/>
                <w:szCs w:val="22"/>
              </w:rPr>
              <w:t xml:space="preserve"> připravila</w:t>
            </w:r>
            <w:r w:rsidR="00FD3767" w:rsidRPr="005547AE">
              <w:rPr>
                <w:rFonts w:asciiTheme="minorHAnsi" w:hAnsiTheme="minorHAnsi"/>
                <w:sz w:val="22"/>
                <w:szCs w:val="22"/>
              </w:rPr>
              <w:t xml:space="preserve"> </w:t>
            </w:r>
            <w:r w:rsidR="00D64751">
              <w:rPr>
                <w:rFonts w:asciiTheme="minorHAnsi" w:hAnsiTheme="minorHAnsi"/>
                <w:sz w:val="22"/>
                <w:szCs w:val="22"/>
              </w:rPr>
              <w:t>„</w:t>
            </w:r>
            <w:r w:rsidR="00FD3767" w:rsidRPr="005547AE">
              <w:rPr>
                <w:rFonts w:asciiTheme="minorHAnsi" w:hAnsiTheme="minorHAnsi"/>
                <w:sz w:val="22"/>
                <w:szCs w:val="22"/>
              </w:rPr>
              <w:t>Krátkodobý strategický plán SSHR pro nákup nouzových zásob ropy a</w:t>
            </w:r>
            <w:r w:rsidR="00D64751">
              <w:rPr>
                <w:rFonts w:asciiTheme="minorHAnsi" w:hAnsiTheme="minorHAnsi"/>
                <w:sz w:val="22"/>
                <w:szCs w:val="22"/>
              </w:rPr>
              <w:t> </w:t>
            </w:r>
            <w:r w:rsidR="00FD3767" w:rsidRPr="005547AE">
              <w:rPr>
                <w:rFonts w:asciiTheme="minorHAnsi" w:hAnsiTheme="minorHAnsi"/>
                <w:sz w:val="22"/>
                <w:szCs w:val="22"/>
              </w:rPr>
              <w:t>ropných produktů do roku 2030</w:t>
            </w:r>
            <w:r w:rsidR="00D64751">
              <w:rPr>
                <w:rFonts w:asciiTheme="minorHAnsi" w:hAnsiTheme="minorHAnsi"/>
                <w:sz w:val="22"/>
                <w:szCs w:val="22"/>
              </w:rPr>
              <w:t>“</w:t>
            </w:r>
            <w:r w:rsidR="00FD3767">
              <w:rPr>
                <w:rFonts w:asciiTheme="minorHAnsi" w:hAnsiTheme="minorHAnsi"/>
                <w:sz w:val="22"/>
                <w:szCs w:val="22"/>
              </w:rPr>
              <w:t>,</w:t>
            </w:r>
            <w:r w:rsidR="00FD3767" w:rsidRPr="005547AE">
              <w:rPr>
                <w:rFonts w:asciiTheme="minorHAnsi" w:hAnsiTheme="minorHAnsi"/>
                <w:sz w:val="22"/>
                <w:szCs w:val="22"/>
              </w:rPr>
              <w:t xml:space="preserve"> </w:t>
            </w:r>
            <w:r w:rsidR="00D64751">
              <w:rPr>
                <w:rFonts w:asciiTheme="minorHAnsi" w:hAnsiTheme="minorHAnsi"/>
                <w:sz w:val="22"/>
                <w:szCs w:val="22"/>
              </w:rPr>
              <w:t>který</w:t>
            </w:r>
            <w:r w:rsidR="00FD3767" w:rsidRPr="005547AE">
              <w:rPr>
                <w:rFonts w:asciiTheme="minorHAnsi" w:hAnsiTheme="minorHAnsi"/>
                <w:sz w:val="22"/>
                <w:szCs w:val="22"/>
              </w:rPr>
              <w:t xml:space="preserve"> </w:t>
            </w:r>
            <w:r w:rsidR="00D64751">
              <w:rPr>
                <w:rFonts w:asciiTheme="minorHAnsi" w:hAnsiTheme="minorHAnsi"/>
                <w:sz w:val="22"/>
                <w:szCs w:val="22"/>
              </w:rPr>
              <w:t xml:space="preserve">nahradil </w:t>
            </w:r>
            <w:r w:rsidR="00FD3767" w:rsidRPr="005547AE">
              <w:rPr>
                <w:rFonts w:asciiTheme="minorHAnsi" w:hAnsiTheme="minorHAnsi"/>
                <w:sz w:val="22"/>
                <w:szCs w:val="22"/>
              </w:rPr>
              <w:t xml:space="preserve">předchozí </w:t>
            </w:r>
            <w:r w:rsidR="004C1B67">
              <w:rPr>
                <w:rFonts w:asciiTheme="minorHAnsi" w:hAnsiTheme="minorHAnsi"/>
                <w:sz w:val="22"/>
                <w:szCs w:val="22"/>
              </w:rPr>
              <w:t>dokument</w:t>
            </w:r>
            <w:r w:rsidR="00FD3767">
              <w:rPr>
                <w:rFonts w:asciiTheme="minorHAnsi" w:hAnsiTheme="minorHAnsi"/>
                <w:sz w:val="22"/>
                <w:szCs w:val="22"/>
              </w:rPr>
              <w:t xml:space="preserve"> a</w:t>
            </w:r>
            <w:r w:rsidR="00D64751">
              <w:rPr>
                <w:rFonts w:asciiTheme="minorHAnsi" w:hAnsiTheme="minorHAnsi"/>
                <w:sz w:val="22"/>
                <w:szCs w:val="22"/>
              </w:rPr>
              <w:t> </w:t>
            </w:r>
            <w:r w:rsidR="00FD3767">
              <w:rPr>
                <w:rFonts w:asciiTheme="minorHAnsi" w:hAnsiTheme="minorHAnsi"/>
                <w:sz w:val="22"/>
                <w:szCs w:val="22"/>
              </w:rPr>
              <w:t>který je aktuálně</w:t>
            </w:r>
            <w:r w:rsidR="00FD3767" w:rsidRPr="005547AE">
              <w:rPr>
                <w:rFonts w:asciiTheme="minorHAnsi" w:hAnsiTheme="minorHAnsi"/>
                <w:sz w:val="22"/>
                <w:szCs w:val="22"/>
              </w:rPr>
              <w:t xml:space="preserve"> předmětem jednání mezi MPO, SSHR a MF.</w:t>
            </w:r>
          </w:p>
        </w:tc>
      </w:tr>
    </w:tbl>
    <w:p w14:paraId="0AD338A2" w14:textId="77777777" w:rsidR="00710291" w:rsidRDefault="00710291">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710291" w:rsidRPr="006B443D" w14:paraId="6A0FB841" w14:textId="77777777" w:rsidTr="00710291">
        <w:tc>
          <w:tcPr>
            <w:tcW w:w="833" w:type="pct"/>
            <w:shd w:val="clear" w:color="auto" w:fill="DBE5F1" w:themeFill="accent1" w:themeFillTint="33"/>
            <w:vAlign w:val="center"/>
          </w:tcPr>
          <w:p w14:paraId="64306488" w14:textId="77777777" w:rsidR="00710291" w:rsidRPr="006B443D" w:rsidRDefault="00710291" w:rsidP="00B2337B">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2F8DB2C3" w14:textId="77777777" w:rsidR="00710291" w:rsidRPr="006B443D" w:rsidRDefault="005B2120" w:rsidP="00B2337B">
            <w:pPr>
              <w:keepNext/>
              <w:spacing w:before="120" w:after="120"/>
              <w:jc w:val="both"/>
              <w:rPr>
                <w:rFonts w:asciiTheme="minorHAnsi" w:hAnsiTheme="minorHAnsi"/>
                <w:b/>
                <w:sz w:val="22"/>
                <w:szCs w:val="22"/>
              </w:rPr>
            </w:pPr>
            <w:r w:rsidRPr="005B2120">
              <w:rPr>
                <w:rFonts w:asciiTheme="minorHAnsi" w:hAnsiTheme="minorHAnsi"/>
                <w:b/>
                <w:sz w:val="22"/>
                <w:szCs w:val="22"/>
              </w:rPr>
              <w:t>Doprava</w:t>
            </w:r>
          </w:p>
        </w:tc>
      </w:tr>
      <w:tr w:rsidR="00710291" w:rsidRPr="006B443D" w14:paraId="1CB75F30" w14:textId="77777777" w:rsidTr="00710291">
        <w:tc>
          <w:tcPr>
            <w:tcW w:w="833" w:type="pct"/>
            <w:vAlign w:val="center"/>
          </w:tcPr>
          <w:p w14:paraId="781C9883"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7C13BFF0" w14:textId="77777777" w:rsidR="00710291" w:rsidRPr="006B443D" w:rsidRDefault="005B2120" w:rsidP="005B2120">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5B2120">
              <w:rPr>
                <w:rFonts w:asciiTheme="minorHAnsi" w:hAnsiTheme="minorHAnsi"/>
                <w:sz w:val="22"/>
                <w:szCs w:val="22"/>
              </w:rPr>
              <w:t>Sledovat vývoj využití alternativních paliv v dopravě v EU a včas podpořit vytvoření potřebné infrastruktury k jejich využití v</w:t>
            </w:r>
            <w:r>
              <w:rPr>
                <w:rFonts w:asciiTheme="minorHAnsi" w:hAnsiTheme="minorHAnsi"/>
                <w:sz w:val="22"/>
                <w:szCs w:val="22"/>
              </w:rPr>
              <w:t> </w:t>
            </w:r>
            <w:r w:rsidRPr="005B2120">
              <w:rPr>
                <w:rFonts w:asciiTheme="minorHAnsi" w:hAnsiTheme="minorHAnsi"/>
                <w:sz w:val="22"/>
                <w:szCs w:val="22"/>
              </w:rPr>
              <w:t>ČR</w:t>
            </w:r>
            <w:r>
              <w:rPr>
                <w:rFonts w:asciiTheme="minorHAnsi" w:hAnsiTheme="minorHAnsi"/>
                <w:sz w:val="22"/>
                <w:szCs w:val="22"/>
              </w:rPr>
              <w:t>.</w:t>
            </w:r>
          </w:p>
        </w:tc>
      </w:tr>
      <w:tr w:rsidR="00710291" w:rsidRPr="006B443D" w14:paraId="1626966D" w14:textId="77777777" w:rsidTr="00710291">
        <w:tc>
          <w:tcPr>
            <w:tcW w:w="833" w:type="pct"/>
            <w:vAlign w:val="center"/>
          </w:tcPr>
          <w:p w14:paraId="41CB77CC"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35BFB243" w14:textId="77777777" w:rsidR="00710291" w:rsidRPr="006B443D" w:rsidRDefault="005B2120" w:rsidP="00710291">
            <w:pPr>
              <w:spacing w:before="120" w:after="120"/>
              <w:jc w:val="both"/>
              <w:rPr>
                <w:rFonts w:asciiTheme="minorHAnsi" w:hAnsiTheme="minorHAnsi"/>
                <w:sz w:val="22"/>
                <w:szCs w:val="22"/>
              </w:rPr>
            </w:pPr>
            <w:r w:rsidRPr="005B2120">
              <w:rPr>
                <w:rFonts w:asciiTheme="minorHAnsi" w:hAnsiTheme="minorHAnsi"/>
                <w:sz w:val="22"/>
                <w:szCs w:val="22"/>
              </w:rPr>
              <w:t>MPO, MD, MŽP</w:t>
            </w:r>
          </w:p>
        </w:tc>
      </w:tr>
      <w:tr w:rsidR="00710291" w:rsidRPr="006B443D" w14:paraId="26B668CE" w14:textId="77777777" w:rsidTr="00710291">
        <w:tc>
          <w:tcPr>
            <w:tcW w:w="833" w:type="pct"/>
            <w:vAlign w:val="center"/>
          </w:tcPr>
          <w:p w14:paraId="61657E28"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0DA5A4F8" w14:textId="77777777" w:rsidR="00710291" w:rsidRPr="006B443D" w:rsidRDefault="005B2120" w:rsidP="00710291">
            <w:pPr>
              <w:spacing w:before="120" w:after="120"/>
              <w:jc w:val="both"/>
              <w:rPr>
                <w:rFonts w:asciiTheme="minorHAnsi" w:hAnsiTheme="minorHAnsi"/>
                <w:sz w:val="22"/>
                <w:szCs w:val="22"/>
              </w:rPr>
            </w:pPr>
            <w:r>
              <w:rPr>
                <w:rFonts w:asciiTheme="minorHAnsi" w:hAnsiTheme="minorHAnsi"/>
                <w:sz w:val="22"/>
                <w:szCs w:val="22"/>
              </w:rPr>
              <w:t>průběžně</w:t>
            </w:r>
          </w:p>
        </w:tc>
      </w:tr>
      <w:tr w:rsidR="00710291" w:rsidRPr="006B443D" w14:paraId="4848ED6F" w14:textId="77777777" w:rsidTr="00710291">
        <w:tc>
          <w:tcPr>
            <w:tcW w:w="833" w:type="pct"/>
            <w:vAlign w:val="center"/>
          </w:tcPr>
          <w:p w14:paraId="3EDF6ED8"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1CAC1D4D" w14:textId="77777777" w:rsidR="005B2120" w:rsidRPr="00D92135" w:rsidRDefault="005B2120" w:rsidP="005B2120">
            <w:pPr>
              <w:overflowPunct w:val="0"/>
              <w:autoSpaceDE w:val="0"/>
              <w:autoSpaceDN w:val="0"/>
              <w:adjustRightInd w:val="0"/>
              <w:spacing w:before="120" w:after="120"/>
              <w:jc w:val="both"/>
              <w:textAlignment w:val="baseline"/>
              <w:rPr>
                <w:rFonts w:asciiTheme="minorHAnsi" w:hAnsiTheme="minorHAnsi"/>
                <w:b/>
                <w:sz w:val="22"/>
                <w:szCs w:val="22"/>
              </w:rPr>
            </w:pPr>
            <w:r w:rsidRPr="005B2120">
              <w:rPr>
                <w:rFonts w:asciiTheme="minorHAnsi" w:hAnsiTheme="minorHAnsi"/>
                <w:b/>
                <w:sz w:val="22"/>
                <w:szCs w:val="22"/>
              </w:rPr>
              <w:t>Pln</w:t>
            </w:r>
            <w:r w:rsidRPr="00D92135">
              <w:rPr>
                <w:rFonts w:asciiTheme="minorHAnsi" w:hAnsiTheme="minorHAnsi"/>
                <w:b/>
                <w:sz w:val="22"/>
                <w:szCs w:val="22"/>
              </w:rPr>
              <w:t>ěno průběžně</w:t>
            </w:r>
          </w:p>
          <w:p w14:paraId="11ECDBBB" w14:textId="750EF2F0" w:rsidR="005B2120" w:rsidRPr="00D92135" w:rsidRDefault="005B2120" w:rsidP="005B2120">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D92135">
              <w:rPr>
                <w:rFonts w:asciiTheme="minorHAnsi" w:hAnsiTheme="minorHAnsi"/>
                <w:sz w:val="22"/>
                <w:szCs w:val="22"/>
              </w:rPr>
              <w:t>Oblasti sledování vývoje využití alternativních paliv v dopravě v EU a včasné podpory vytvoření potřebné infrastruktury k jejich využití v ČR jsou řešeny v</w:t>
            </w:r>
            <w:r w:rsidR="002F1E7C" w:rsidRPr="00D92135">
              <w:rPr>
                <w:rFonts w:asciiTheme="minorHAnsi" w:hAnsiTheme="minorHAnsi"/>
                <w:sz w:val="22"/>
                <w:szCs w:val="22"/>
              </w:rPr>
              <w:t> </w:t>
            </w:r>
            <w:r w:rsidRPr="00D92135">
              <w:rPr>
                <w:rFonts w:asciiTheme="minorHAnsi" w:hAnsiTheme="minorHAnsi"/>
                <w:sz w:val="22"/>
                <w:szCs w:val="22"/>
              </w:rPr>
              <w:t>rámci implementace NAP CM, který byl zpracován na základě požadavků Směrnice Evropského parlamentu a Rady 2014/94/EU ze dne 22. října 2014 o</w:t>
            </w:r>
            <w:r w:rsidR="002F1E7C" w:rsidRPr="00D92135">
              <w:rPr>
                <w:rFonts w:asciiTheme="minorHAnsi" w:hAnsiTheme="minorHAnsi"/>
                <w:sz w:val="22"/>
                <w:szCs w:val="22"/>
              </w:rPr>
              <w:t> </w:t>
            </w:r>
            <w:r w:rsidRPr="00D92135">
              <w:rPr>
                <w:rFonts w:asciiTheme="minorHAnsi" w:hAnsiTheme="minorHAnsi"/>
                <w:sz w:val="22"/>
                <w:szCs w:val="22"/>
              </w:rPr>
              <w:t>zavádění infrastruktury pro alternativní paliva a který byl schválen vládou ČR</w:t>
            </w:r>
            <w:r w:rsidR="008707D7">
              <w:rPr>
                <w:rFonts w:asciiTheme="minorHAnsi" w:hAnsiTheme="minorHAnsi"/>
                <w:sz w:val="22"/>
                <w:szCs w:val="22"/>
              </w:rPr>
              <w:t>,</w:t>
            </w:r>
            <w:r w:rsidR="006E4E1F" w:rsidRPr="00D92135">
              <w:rPr>
                <w:rFonts w:asciiTheme="minorHAnsi" w:hAnsiTheme="minorHAnsi"/>
                <w:sz w:val="22"/>
                <w:szCs w:val="22"/>
              </w:rPr>
              <w:t xml:space="preserve"> usnesením č. 941</w:t>
            </w:r>
            <w:r w:rsidRPr="00D92135">
              <w:rPr>
                <w:rFonts w:asciiTheme="minorHAnsi" w:hAnsiTheme="minorHAnsi"/>
                <w:sz w:val="22"/>
                <w:szCs w:val="22"/>
              </w:rPr>
              <w:t xml:space="preserve"> </w:t>
            </w:r>
            <w:r w:rsidR="006E4E1F">
              <w:rPr>
                <w:rFonts w:asciiTheme="minorHAnsi" w:hAnsiTheme="minorHAnsi"/>
                <w:sz w:val="22"/>
                <w:szCs w:val="22"/>
              </w:rPr>
              <w:t xml:space="preserve">ze </w:t>
            </w:r>
            <w:r w:rsidRPr="00D92135">
              <w:rPr>
                <w:rFonts w:asciiTheme="minorHAnsi" w:hAnsiTheme="minorHAnsi"/>
                <w:sz w:val="22"/>
                <w:szCs w:val="22"/>
              </w:rPr>
              <w:t>dne 20. listopadu 2015. Plnění opatření NAP CM je pak zajištěno v rámci tzv. Koordinačního výboru, přičemž je také průběžně sledován a vyhodnocován vývoj v oblasti využívání alternativních paliv v tomto kontextu.</w:t>
            </w:r>
            <w:r w:rsidR="005F3C48" w:rsidRPr="00D92135">
              <w:rPr>
                <w:rFonts w:asciiTheme="minorHAnsi" w:hAnsiTheme="minorHAnsi"/>
                <w:sz w:val="22"/>
                <w:szCs w:val="22"/>
              </w:rPr>
              <w:t xml:space="preserve"> O výsledcích plnění NAP CM je každoročně informována vláda.</w:t>
            </w:r>
            <w:r w:rsidR="000D121B">
              <w:rPr>
                <w:rFonts w:asciiTheme="minorHAnsi" w:hAnsiTheme="minorHAnsi"/>
                <w:sz w:val="22"/>
                <w:szCs w:val="22"/>
              </w:rPr>
              <w:t xml:space="preserve"> V roce 2018 byla zahájena příprava aktualizace NAP CM.</w:t>
            </w:r>
          </w:p>
          <w:p w14:paraId="777A3AA1" w14:textId="53F28C6E" w:rsidR="003220E2" w:rsidRPr="003220E2" w:rsidRDefault="005B2120" w:rsidP="003220E2">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5B2120">
              <w:rPr>
                <w:rFonts w:asciiTheme="minorHAnsi" w:hAnsiTheme="minorHAnsi"/>
                <w:sz w:val="22"/>
                <w:szCs w:val="22"/>
              </w:rPr>
              <w:t xml:space="preserve">Jako součást širší iniciativy Evropské unie, která se týká přechodu EU na nízkouhlíkovou ekonomiku, bylo vydáno sdělení </w:t>
            </w:r>
            <w:proofErr w:type="gramStart"/>
            <w:r w:rsidRPr="005B2120">
              <w:rPr>
                <w:rFonts w:asciiTheme="minorHAnsi" w:hAnsiTheme="minorHAnsi"/>
                <w:sz w:val="22"/>
                <w:szCs w:val="22"/>
              </w:rPr>
              <w:t>COM(2016</w:t>
            </w:r>
            <w:proofErr w:type="gramEnd"/>
            <w:r w:rsidRPr="005B2120">
              <w:rPr>
                <w:rFonts w:asciiTheme="minorHAnsi" w:hAnsiTheme="minorHAnsi"/>
                <w:sz w:val="22"/>
                <w:szCs w:val="22"/>
              </w:rPr>
              <w:t>)501 s názvem „Evropská strategie pro nízko</w:t>
            </w:r>
            <w:r>
              <w:rPr>
                <w:rFonts w:asciiTheme="minorHAnsi" w:hAnsiTheme="minorHAnsi"/>
                <w:sz w:val="22"/>
                <w:szCs w:val="22"/>
              </w:rPr>
              <w:t>-</w:t>
            </w:r>
            <w:r w:rsidRPr="005B2120">
              <w:rPr>
                <w:rFonts w:asciiTheme="minorHAnsi" w:hAnsiTheme="minorHAnsi"/>
                <w:sz w:val="22"/>
                <w:szCs w:val="22"/>
              </w:rPr>
              <w:t>emisní dopravu“. Tento dokument obsahuje opatření, které plánuje Evropská komise přijmout za účelem vytvoření regulačního rámce nízko</w:t>
            </w:r>
            <w:r>
              <w:rPr>
                <w:rFonts w:asciiTheme="minorHAnsi" w:hAnsiTheme="minorHAnsi"/>
                <w:sz w:val="22"/>
                <w:szCs w:val="22"/>
              </w:rPr>
              <w:t>-</w:t>
            </w:r>
            <w:r w:rsidRPr="005B2120">
              <w:rPr>
                <w:rFonts w:asciiTheme="minorHAnsi" w:hAnsiTheme="minorHAnsi"/>
                <w:sz w:val="22"/>
                <w:szCs w:val="22"/>
              </w:rPr>
              <w:t>emisní mobility. V návaznosti na vydání tohoto sdělení byla připravena rámcová pozice z pohledu ČR a tento dokument a jeho vazba na ČR bude dále vyhodnocována.</w:t>
            </w:r>
          </w:p>
          <w:p w14:paraId="40767D8A" w14:textId="633D8452" w:rsidR="00710291" w:rsidRDefault="006E4E1F" w:rsidP="00634B52">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Dne 22. května 2017 byl v</w:t>
            </w:r>
            <w:r w:rsidR="005F3C48" w:rsidRPr="005F3C48">
              <w:rPr>
                <w:rFonts w:asciiTheme="minorHAnsi" w:hAnsiTheme="minorHAnsi"/>
                <w:sz w:val="22"/>
                <w:szCs w:val="22"/>
              </w:rPr>
              <w:t>ydán zákon č. 152/2017 Sb.</w:t>
            </w:r>
            <w:r w:rsidR="005F3C48" w:rsidRPr="005F3C48">
              <w:rPr>
                <w:rFonts w:asciiTheme="minorHAnsi" w:hAnsiTheme="minorHAnsi" w:cstheme="minorHAnsi"/>
                <w:sz w:val="22"/>
                <w:szCs w:val="22"/>
              </w:rPr>
              <w:t>, kterým se mění zákon č.</w:t>
            </w:r>
            <w:r>
              <w:rPr>
                <w:rFonts w:asciiTheme="minorHAnsi" w:hAnsiTheme="minorHAnsi" w:cstheme="minorHAnsi"/>
                <w:sz w:val="22"/>
                <w:szCs w:val="22"/>
              </w:rPr>
              <w:t> </w:t>
            </w:r>
            <w:r w:rsidR="005F3C48" w:rsidRPr="005F3C48">
              <w:rPr>
                <w:rFonts w:asciiTheme="minorHAnsi" w:hAnsiTheme="minorHAnsi" w:cstheme="minorHAnsi"/>
                <w:sz w:val="22"/>
                <w:szCs w:val="22"/>
              </w:rPr>
              <w:t>311/2006 Sb., o</w:t>
            </w:r>
            <w:r w:rsidR="00634B52">
              <w:rPr>
                <w:rFonts w:asciiTheme="minorHAnsi" w:hAnsiTheme="minorHAnsi" w:cstheme="minorHAnsi"/>
                <w:sz w:val="22"/>
                <w:szCs w:val="22"/>
              </w:rPr>
              <w:t> </w:t>
            </w:r>
            <w:r w:rsidR="005F3C48" w:rsidRPr="005F3C48">
              <w:rPr>
                <w:rFonts w:asciiTheme="minorHAnsi" w:hAnsiTheme="minorHAnsi" w:cstheme="minorHAnsi"/>
                <w:sz w:val="22"/>
                <w:szCs w:val="22"/>
              </w:rPr>
              <w:t>pohonných hmotách a</w:t>
            </w:r>
            <w:r w:rsidR="00634B52">
              <w:rPr>
                <w:rFonts w:asciiTheme="minorHAnsi" w:hAnsiTheme="minorHAnsi" w:cstheme="minorHAnsi"/>
                <w:sz w:val="22"/>
                <w:szCs w:val="22"/>
              </w:rPr>
              <w:t xml:space="preserve"> </w:t>
            </w:r>
            <w:r w:rsidR="005F3C48" w:rsidRPr="005F3C48">
              <w:rPr>
                <w:rFonts w:asciiTheme="minorHAnsi" w:hAnsiTheme="minorHAnsi" w:cstheme="minorHAnsi"/>
                <w:sz w:val="22"/>
                <w:szCs w:val="22"/>
              </w:rPr>
              <w:t>čerpacích stanicích pohonných hmot a</w:t>
            </w:r>
            <w:r>
              <w:t> </w:t>
            </w:r>
            <w:r w:rsidR="00634B52">
              <w:rPr>
                <w:rFonts w:asciiTheme="minorHAnsi" w:hAnsiTheme="minorHAnsi" w:cstheme="minorHAnsi"/>
                <w:sz w:val="22"/>
                <w:szCs w:val="22"/>
              </w:rPr>
              <w:t xml:space="preserve">o </w:t>
            </w:r>
            <w:r w:rsidR="005F3C48" w:rsidRPr="005F3C48">
              <w:rPr>
                <w:rFonts w:asciiTheme="minorHAnsi" w:hAnsiTheme="minorHAnsi" w:cstheme="minorHAnsi"/>
                <w:sz w:val="22"/>
                <w:szCs w:val="22"/>
              </w:rPr>
              <w:t>změně některých souvisejících zákonů, s účinností od 6. června 2017.</w:t>
            </w:r>
            <w:r>
              <w:rPr>
                <w:rFonts w:asciiTheme="minorHAnsi" w:hAnsiTheme="minorHAnsi" w:cstheme="minorHAnsi"/>
                <w:sz w:val="22"/>
                <w:szCs w:val="22"/>
              </w:rPr>
              <w:t xml:space="preserve"> </w:t>
            </w:r>
            <w:r w:rsidR="005F3C48" w:rsidRPr="005F3C48">
              <w:rPr>
                <w:rFonts w:asciiTheme="minorHAnsi" w:hAnsiTheme="minorHAnsi" w:cstheme="minorHAnsi"/>
                <w:sz w:val="22"/>
                <w:szCs w:val="22"/>
              </w:rPr>
              <w:t>P</w:t>
            </w:r>
            <w:r w:rsidR="00D51D79" w:rsidRPr="005F3C48">
              <w:rPr>
                <w:rFonts w:asciiTheme="minorHAnsi" w:hAnsiTheme="minorHAnsi"/>
                <w:sz w:val="22"/>
                <w:szCs w:val="22"/>
              </w:rPr>
              <w:t>odstatnou část novely tvoří transpozice směrnice</w:t>
            </w:r>
            <w:r w:rsidR="005F3C48" w:rsidRPr="005F3C48">
              <w:rPr>
                <w:rFonts w:asciiTheme="minorHAnsi" w:hAnsiTheme="minorHAnsi"/>
                <w:sz w:val="22"/>
                <w:szCs w:val="22"/>
              </w:rPr>
              <w:t xml:space="preserve"> Evropského parlamentu a</w:t>
            </w:r>
            <w:r>
              <w:rPr>
                <w:rFonts w:asciiTheme="minorHAnsi" w:hAnsiTheme="minorHAnsi"/>
                <w:sz w:val="22"/>
                <w:szCs w:val="22"/>
              </w:rPr>
              <w:t> </w:t>
            </w:r>
            <w:r w:rsidR="005F3C48" w:rsidRPr="005F3C48">
              <w:rPr>
                <w:rFonts w:asciiTheme="minorHAnsi" w:hAnsiTheme="minorHAnsi"/>
                <w:sz w:val="22"/>
                <w:szCs w:val="22"/>
              </w:rPr>
              <w:t>Rady č.</w:t>
            </w:r>
            <w:r w:rsidR="00D51D79" w:rsidRPr="005F3C48">
              <w:rPr>
                <w:rFonts w:asciiTheme="minorHAnsi" w:hAnsiTheme="minorHAnsi"/>
                <w:sz w:val="22"/>
                <w:szCs w:val="22"/>
              </w:rPr>
              <w:t xml:space="preserve"> 2014/94/EU o zavádění infrastruktury pro alternativní paliva. </w:t>
            </w:r>
            <w:r w:rsidR="00634B52">
              <w:rPr>
                <w:rFonts w:asciiTheme="minorHAnsi" w:hAnsiTheme="minorHAnsi"/>
                <w:sz w:val="22"/>
                <w:szCs w:val="22"/>
              </w:rPr>
              <w:t>Ze souboru změn</w:t>
            </w:r>
            <w:r w:rsidR="00D51D79" w:rsidRPr="00CC1654">
              <w:rPr>
                <w:rFonts w:asciiTheme="minorHAnsi" w:hAnsiTheme="minorHAnsi"/>
                <w:sz w:val="22"/>
                <w:szCs w:val="22"/>
              </w:rPr>
              <w:t xml:space="preserve"> týkajících se alternativní infrastruktury </w:t>
            </w:r>
            <w:r w:rsidR="009E47B8" w:rsidRPr="00CC1654">
              <w:rPr>
                <w:rFonts w:asciiTheme="minorHAnsi" w:hAnsiTheme="minorHAnsi"/>
                <w:sz w:val="22"/>
                <w:szCs w:val="22"/>
              </w:rPr>
              <w:t>se jedná především o</w:t>
            </w:r>
            <w:r>
              <w:rPr>
                <w:rFonts w:asciiTheme="minorHAnsi" w:hAnsiTheme="minorHAnsi"/>
                <w:sz w:val="22"/>
                <w:szCs w:val="22"/>
              </w:rPr>
              <w:t> </w:t>
            </w:r>
            <w:r w:rsidR="009E47B8" w:rsidRPr="00CC1654">
              <w:rPr>
                <w:rFonts w:asciiTheme="minorHAnsi" w:hAnsiTheme="minorHAnsi"/>
                <w:sz w:val="22"/>
                <w:szCs w:val="22"/>
              </w:rPr>
              <w:t xml:space="preserve">zákonné zakotvení elektřiny pro pohon v dopravě, které </w:t>
            </w:r>
            <w:r w:rsidR="00634B52">
              <w:rPr>
                <w:rFonts w:asciiTheme="minorHAnsi" w:hAnsiTheme="minorHAnsi"/>
                <w:sz w:val="22"/>
                <w:szCs w:val="22"/>
              </w:rPr>
              <w:t>dosud nebylo</w:t>
            </w:r>
            <w:r w:rsidR="009E47B8" w:rsidRPr="00CC1654">
              <w:rPr>
                <w:rFonts w:asciiTheme="minorHAnsi" w:hAnsiTheme="minorHAnsi"/>
                <w:sz w:val="22"/>
                <w:szCs w:val="22"/>
              </w:rPr>
              <w:t xml:space="preserve"> legislativně řešeno. </w:t>
            </w:r>
            <w:r w:rsidR="00D51D79" w:rsidRPr="00CC1654">
              <w:rPr>
                <w:rFonts w:asciiTheme="minorHAnsi" w:hAnsiTheme="minorHAnsi"/>
                <w:sz w:val="22"/>
                <w:szCs w:val="22"/>
              </w:rPr>
              <w:t xml:space="preserve">Dále </w:t>
            </w:r>
            <w:r w:rsidR="009E47B8" w:rsidRPr="00CC1654">
              <w:rPr>
                <w:rFonts w:asciiTheme="minorHAnsi" w:hAnsiTheme="minorHAnsi"/>
                <w:sz w:val="22"/>
                <w:szCs w:val="22"/>
              </w:rPr>
              <w:t xml:space="preserve">jsou </w:t>
            </w:r>
            <w:r w:rsidR="00D51D79" w:rsidRPr="00CC1654">
              <w:rPr>
                <w:rFonts w:asciiTheme="minorHAnsi" w:hAnsiTheme="minorHAnsi"/>
                <w:sz w:val="22"/>
                <w:szCs w:val="22"/>
              </w:rPr>
              <w:t>defin</w:t>
            </w:r>
            <w:r w:rsidR="009E47B8" w:rsidRPr="00CC1654">
              <w:rPr>
                <w:rFonts w:asciiTheme="minorHAnsi" w:hAnsiTheme="minorHAnsi"/>
                <w:sz w:val="22"/>
                <w:szCs w:val="22"/>
              </w:rPr>
              <w:t xml:space="preserve">ovány </w:t>
            </w:r>
            <w:r w:rsidR="00D51D79" w:rsidRPr="00CC1654">
              <w:rPr>
                <w:rFonts w:asciiTheme="minorHAnsi" w:hAnsiTheme="minorHAnsi"/>
                <w:sz w:val="22"/>
                <w:szCs w:val="22"/>
              </w:rPr>
              <w:t xml:space="preserve">dobíjecí stanice </w:t>
            </w:r>
            <w:r w:rsidR="009E47B8" w:rsidRPr="00CC1654">
              <w:rPr>
                <w:rFonts w:asciiTheme="minorHAnsi" w:hAnsiTheme="minorHAnsi"/>
                <w:sz w:val="22"/>
                <w:szCs w:val="22"/>
              </w:rPr>
              <w:t>a</w:t>
            </w:r>
            <w:r w:rsidR="002F1E7C">
              <w:rPr>
                <w:rFonts w:asciiTheme="minorHAnsi" w:hAnsiTheme="minorHAnsi"/>
                <w:sz w:val="22"/>
                <w:szCs w:val="22"/>
              </w:rPr>
              <w:t> </w:t>
            </w:r>
            <w:r w:rsidR="00D51D79" w:rsidRPr="00CC1654">
              <w:rPr>
                <w:rFonts w:asciiTheme="minorHAnsi" w:hAnsiTheme="minorHAnsi"/>
                <w:sz w:val="22"/>
                <w:szCs w:val="22"/>
              </w:rPr>
              <w:t>technické požadavky</w:t>
            </w:r>
            <w:r w:rsidR="009E47B8" w:rsidRPr="00CC1654">
              <w:rPr>
                <w:rFonts w:asciiTheme="minorHAnsi" w:hAnsiTheme="minorHAnsi"/>
                <w:sz w:val="22"/>
                <w:szCs w:val="22"/>
              </w:rPr>
              <w:t xml:space="preserve"> </w:t>
            </w:r>
            <w:r w:rsidR="00634B52">
              <w:rPr>
                <w:rFonts w:asciiTheme="minorHAnsi" w:hAnsiTheme="minorHAnsi"/>
                <w:sz w:val="22"/>
                <w:szCs w:val="22"/>
              </w:rPr>
              <w:t>pro</w:t>
            </w:r>
            <w:r w:rsidR="009E47B8" w:rsidRPr="00CC1654">
              <w:rPr>
                <w:rFonts w:asciiTheme="minorHAnsi" w:hAnsiTheme="minorHAnsi"/>
                <w:sz w:val="22"/>
                <w:szCs w:val="22"/>
              </w:rPr>
              <w:t xml:space="preserve"> tyto stanice</w:t>
            </w:r>
            <w:r w:rsidR="00D51D79" w:rsidRPr="00CC1654">
              <w:rPr>
                <w:rFonts w:asciiTheme="minorHAnsi" w:hAnsiTheme="minorHAnsi"/>
                <w:sz w:val="22"/>
                <w:szCs w:val="22"/>
              </w:rPr>
              <w:t>,</w:t>
            </w:r>
            <w:r w:rsidR="00634B52">
              <w:rPr>
                <w:rFonts w:asciiTheme="minorHAnsi" w:hAnsiTheme="minorHAnsi"/>
                <w:sz w:val="22"/>
                <w:szCs w:val="22"/>
              </w:rPr>
              <w:t xml:space="preserve"> </w:t>
            </w:r>
            <w:r w:rsidR="00D51D79" w:rsidRPr="00CC1654">
              <w:rPr>
                <w:rFonts w:asciiTheme="minorHAnsi" w:hAnsiTheme="minorHAnsi"/>
                <w:sz w:val="22"/>
                <w:szCs w:val="22"/>
              </w:rPr>
              <w:t>včetně</w:t>
            </w:r>
            <w:r w:rsidR="00634B52">
              <w:rPr>
                <w:rFonts w:asciiTheme="minorHAnsi" w:hAnsiTheme="minorHAnsi"/>
                <w:sz w:val="22"/>
                <w:szCs w:val="22"/>
              </w:rPr>
              <w:t xml:space="preserve"> jejich</w:t>
            </w:r>
            <w:r w:rsidR="00D51D79" w:rsidRPr="00CC1654">
              <w:rPr>
                <w:rFonts w:asciiTheme="minorHAnsi" w:hAnsiTheme="minorHAnsi"/>
                <w:sz w:val="22"/>
                <w:szCs w:val="22"/>
              </w:rPr>
              <w:t xml:space="preserve"> povinné registrace</w:t>
            </w:r>
            <w:r w:rsidR="009E47B8" w:rsidRPr="00634B52">
              <w:rPr>
                <w:rFonts w:asciiTheme="minorHAnsi" w:hAnsiTheme="minorHAnsi"/>
                <w:sz w:val="22"/>
                <w:szCs w:val="22"/>
              </w:rPr>
              <w:t>.</w:t>
            </w:r>
            <w:r w:rsidR="00634B52" w:rsidRPr="00634B52">
              <w:rPr>
                <w:rFonts w:asciiTheme="minorHAnsi" w:hAnsiTheme="minorHAnsi"/>
                <w:sz w:val="22"/>
                <w:szCs w:val="22"/>
              </w:rPr>
              <w:t xml:space="preserve"> </w:t>
            </w:r>
            <w:r w:rsidR="00634B52" w:rsidRPr="00634B52">
              <w:rPr>
                <w:rFonts w:asciiTheme="minorHAnsi" w:hAnsiTheme="minorHAnsi" w:cstheme="minorHAnsi"/>
                <w:sz w:val="22"/>
                <w:szCs w:val="22"/>
              </w:rPr>
              <w:t xml:space="preserve">Současně byla </w:t>
            </w:r>
            <w:r w:rsidR="00634B52">
              <w:rPr>
                <w:rFonts w:asciiTheme="minorHAnsi" w:hAnsiTheme="minorHAnsi" w:cstheme="minorHAnsi"/>
                <w:sz w:val="22"/>
                <w:szCs w:val="22"/>
              </w:rPr>
              <w:t>vydána a</w:t>
            </w:r>
            <w:r>
              <w:rPr>
                <w:rFonts w:asciiTheme="minorHAnsi" w:hAnsiTheme="minorHAnsi" w:cstheme="minorHAnsi"/>
                <w:sz w:val="22"/>
                <w:szCs w:val="22"/>
              </w:rPr>
              <w:t> </w:t>
            </w:r>
            <w:r w:rsidR="00634B52">
              <w:rPr>
                <w:rFonts w:asciiTheme="minorHAnsi" w:hAnsiTheme="minorHAnsi" w:cstheme="minorHAnsi"/>
                <w:sz w:val="22"/>
                <w:szCs w:val="22"/>
              </w:rPr>
              <w:t>nabyla účinnosti také</w:t>
            </w:r>
            <w:r w:rsidR="00634B52" w:rsidRPr="00634B52">
              <w:rPr>
                <w:rFonts w:asciiTheme="minorHAnsi" w:hAnsiTheme="minorHAnsi" w:cstheme="minorHAnsi"/>
                <w:sz w:val="22"/>
                <w:szCs w:val="22"/>
              </w:rPr>
              <w:t xml:space="preserve"> vyhláška č. 153/2017 Sb., kterou se mění vyhláška č.</w:t>
            </w:r>
            <w:r>
              <w:rPr>
                <w:rFonts w:asciiTheme="minorHAnsi" w:hAnsiTheme="minorHAnsi" w:cstheme="minorHAnsi"/>
                <w:sz w:val="22"/>
                <w:szCs w:val="22"/>
              </w:rPr>
              <w:t> </w:t>
            </w:r>
            <w:r w:rsidR="00634B52" w:rsidRPr="00634B52">
              <w:rPr>
                <w:rFonts w:asciiTheme="minorHAnsi" w:hAnsiTheme="minorHAnsi" w:cstheme="minorHAnsi"/>
                <w:sz w:val="22"/>
                <w:szCs w:val="22"/>
              </w:rPr>
              <w:t>133/2010 Sb.</w:t>
            </w:r>
            <w:r w:rsidR="00634B52">
              <w:rPr>
                <w:rFonts w:asciiTheme="minorHAnsi" w:hAnsiTheme="minorHAnsi" w:cstheme="minorHAnsi"/>
                <w:sz w:val="22"/>
                <w:szCs w:val="22"/>
              </w:rPr>
              <w:t>,</w:t>
            </w:r>
            <w:r w:rsidR="00634B52" w:rsidRPr="00634B52">
              <w:rPr>
                <w:rFonts w:asciiTheme="minorHAnsi" w:hAnsiTheme="minorHAnsi" w:cstheme="minorHAnsi"/>
                <w:sz w:val="22"/>
                <w:szCs w:val="22"/>
              </w:rPr>
              <w:t xml:space="preserve"> o požadavcích na pohonné hmoty, o způsobu sledování </w:t>
            </w:r>
            <w:r w:rsidR="00634B52" w:rsidRPr="00634B52">
              <w:rPr>
                <w:rFonts w:asciiTheme="minorHAnsi" w:hAnsiTheme="minorHAnsi" w:cstheme="minorHAnsi"/>
                <w:sz w:val="22"/>
                <w:szCs w:val="22"/>
              </w:rPr>
              <w:lastRenderedPageBreak/>
              <w:t>a</w:t>
            </w:r>
            <w:r>
              <w:rPr>
                <w:rFonts w:asciiTheme="minorHAnsi" w:hAnsiTheme="minorHAnsi" w:cstheme="minorHAnsi"/>
                <w:sz w:val="22"/>
                <w:szCs w:val="22"/>
              </w:rPr>
              <w:t> </w:t>
            </w:r>
            <w:r w:rsidR="00634B52" w:rsidRPr="00634B52">
              <w:rPr>
                <w:rFonts w:asciiTheme="minorHAnsi" w:hAnsiTheme="minorHAnsi" w:cstheme="minorHAnsi"/>
                <w:sz w:val="22"/>
                <w:szCs w:val="22"/>
              </w:rPr>
              <w:t>monitorování složení a jakosti pohonných hmot a jejich evidenci</w:t>
            </w:r>
            <w:r w:rsidR="00634B52">
              <w:rPr>
                <w:rFonts w:asciiTheme="minorHAnsi" w:hAnsiTheme="minorHAnsi" w:cstheme="minorHAnsi"/>
                <w:sz w:val="22"/>
                <w:szCs w:val="22"/>
              </w:rPr>
              <w:t>,</w:t>
            </w:r>
            <w:r w:rsidR="00634B52" w:rsidRPr="00634B52">
              <w:rPr>
                <w:rFonts w:asciiTheme="minorHAnsi" w:hAnsiTheme="minorHAnsi" w:cstheme="minorHAnsi"/>
                <w:sz w:val="22"/>
                <w:szCs w:val="22"/>
              </w:rPr>
              <w:t xml:space="preserve"> v níž</w:t>
            </w:r>
            <w:r w:rsidR="00634B52" w:rsidRPr="00634B52">
              <w:t xml:space="preserve"> jsou</w:t>
            </w:r>
            <w:r w:rsidR="00634B52" w:rsidRPr="00CC1654">
              <w:rPr>
                <w:rFonts w:asciiTheme="minorHAnsi" w:hAnsiTheme="minorHAnsi"/>
                <w:sz w:val="22"/>
                <w:szCs w:val="22"/>
              </w:rPr>
              <w:t xml:space="preserve"> jako</w:t>
            </w:r>
            <w:r w:rsidR="00634B52">
              <w:rPr>
                <w:rFonts w:asciiTheme="minorHAnsi" w:hAnsiTheme="minorHAnsi"/>
                <w:sz w:val="22"/>
                <w:szCs w:val="22"/>
              </w:rPr>
              <w:t>žto</w:t>
            </w:r>
            <w:r w:rsidR="00634B52" w:rsidRPr="00CC1654">
              <w:rPr>
                <w:rFonts w:asciiTheme="minorHAnsi" w:hAnsiTheme="minorHAnsi"/>
                <w:sz w:val="22"/>
                <w:szCs w:val="22"/>
              </w:rPr>
              <w:t xml:space="preserve"> pohonné hmoty nově definovány</w:t>
            </w:r>
            <w:r w:rsidR="00634B52">
              <w:rPr>
                <w:rFonts w:asciiTheme="minorHAnsi" w:hAnsiTheme="minorHAnsi"/>
                <w:sz w:val="22"/>
                <w:szCs w:val="22"/>
              </w:rPr>
              <w:t xml:space="preserve"> </w:t>
            </w:r>
            <w:r w:rsidR="00634B52" w:rsidRPr="00CC1654">
              <w:rPr>
                <w:rFonts w:asciiTheme="minorHAnsi" w:hAnsiTheme="minorHAnsi"/>
                <w:sz w:val="22"/>
                <w:szCs w:val="22"/>
              </w:rPr>
              <w:t>bioplyn, vodík, elektrická energie a</w:t>
            </w:r>
            <w:r>
              <w:rPr>
                <w:rFonts w:asciiTheme="minorHAnsi" w:hAnsiTheme="minorHAnsi"/>
                <w:sz w:val="22"/>
                <w:szCs w:val="22"/>
              </w:rPr>
              <w:t> </w:t>
            </w:r>
            <w:r w:rsidR="00634B52" w:rsidRPr="00CC1654">
              <w:rPr>
                <w:rFonts w:asciiTheme="minorHAnsi" w:hAnsiTheme="minorHAnsi"/>
                <w:sz w:val="22"/>
                <w:szCs w:val="22"/>
              </w:rPr>
              <w:t>LNG, a to včetně kvalitativních parametrů, které musí být pro použití těchto paliv v dopravě splněny.</w:t>
            </w:r>
          </w:p>
          <w:p w14:paraId="73F27FBE" w14:textId="1F86178C" w:rsidR="00CB67E1" w:rsidRDefault="00CB67E1" w:rsidP="00323AE1">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Dne 4. října</w:t>
            </w:r>
            <w:r w:rsidR="000C29C5">
              <w:rPr>
                <w:rFonts w:asciiTheme="minorHAnsi" w:hAnsiTheme="minorHAnsi"/>
                <w:sz w:val="22"/>
                <w:szCs w:val="22"/>
              </w:rPr>
              <w:t xml:space="preserve"> 2017</w:t>
            </w:r>
            <w:r>
              <w:rPr>
                <w:rFonts w:asciiTheme="minorHAnsi" w:hAnsiTheme="minorHAnsi"/>
                <w:sz w:val="22"/>
                <w:szCs w:val="22"/>
              </w:rPr>
              <w:t xml:space="preserve"> byla vydána</w:t>
            </w:r>
            <w:r w:rsidRPr="00CB67E1">
              <w:rPr>
                <w:rFonts w:asciiTheme="minorHAnsi" w:hAnsiTheme="minorHAnsi"/>
                <w:sz w:val="22"/>
                <w:szCs w:val="22"/>
              </w:rPr>
              <w:t xml:space="preserve"> vyhláška č. 323/2017 Sb., kterou se mění vyhláška č.</w:t>
            </w:r>
            <w:r>
              <w:rPr>
                <w:rFonts w:asciiTheme="minorHAnsi" w:hAnsiTheme="minorHAnsi"/>
                <w:sz w:val="22"/>
                <w:szCs w:val="22"/>
              </w:rPr>
              <w:t> </w:t>
            </w:r>
            <w:r w:rsidRPr="00CB67E1">
              <w:rPr>
                <w:rFonts w:asciiTheme="minorHAnsi" w:hAnsiTheme="minorHAnsi"/>
                <w:sz w:val="22"/>
                <w:szCs w:val="22"/>
              </w:rPr>
              <w:t>268/2009 Sb., o technických požadavcích na stavby, ve znění vyhlášky č.</w:t>
            </w:r>
            <w:r>
              <w:rPr>
                <w:rFonts w:asciiTheme="minorHAnsi" w:hAnsiTheme="minorHAnsi"/>
                <w:sz w:val="22"/>
                <w:szCs w:val="22"/>
              </w:rPr>
              <w:t> </w:t>
            </w:r>
            <w:r w:rsidRPr="00CB67E1">
              <w:rPr>
                <w:rFonts w:asciiTheme="minorHAnsi" w:hAnsiTheme="minorHAnsi"/>
                <w:sz w:val="22"/>
                <w:szCs w:val="22"/>
              </w:rPr>
              <w:t>20/2012 Sb. Uvedená vyhláška obsahuje technické specifikace pro dobíjecí stanice a čerpací stanice pohonných hmot</w:t>
            </w:r>
            <w:r>
              <w:rPr>
                <w:rFonts w:asciiTheme="minorHAnsi" w:hAnsiTheme="minorHAnsi"/>
                <w:sz w:val="22"/>
                <w:szCs w:val="22"/>
              </w:rPr>
              <w:t>.</w:t>
            </w:r>
          </w:p>
          <w:p w14:paraId="477F20EA" w14:textId="77777777" w:rsidR="003220E2" w:rsidRDefault="003220E2" w:rsidP="00282A1A">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 xml:space="preserve">Dne </w:t>
            </w:r>
            <w:r w:rsidRPr="003220E2">
              <w:rPr>
                <w:rFonts w:asciiTheme="minorHAnsi" w:hAnsiTheme="minorHAnsi"/>
                <w:sz w:val="22"/>
                <w:szCs w:val="22"/>
              </w:rPr>
              <w:t>11.</w:t>
            </w:r>
            <w:r>
              <w:rPr>
                <w:rFonts w:asciiTheme="minorHAnsi" w:hAnsiTheme="minorHAnsi"/>
                <w:sz w:val="22"/>
                <w:szCs w:val="22"/>
              </w:rPr>
              <w:t xml:space="preserve"> srpna </w:t>
            </w:r>
            <w:r w:rsidRPr="003220E2">
              <w:rPr>
                <w:rFonts w:asciiTheme="minorHAnsi" w:hAnsiTheme="minorHAnsi"/>
                <w:sz w:val="22"/>
                <w:szCs w:val="22"/>
              </w:rPr>
              <w:t xml:space="preserve">2017 byl v procesu notifikace vydán ze strany Evropské </w:t>
            </w:r>
            <w:r>
              <w:rPr>
                <w:rFonts w:asciiTheme="minorHAnsi" w:hAnsiTheme="minorHAnsi"/>
                <w:sz w:val="22"/>
                <w:szCs w:val="22"/>
              </w:rPr>
              <w:t xml:space="preserve">komise </w:t>
            </w:r>
            <w:r w:rsidRPr="003220E2">
              <w:rPr>
                <w:rFonts w:asciiTheme="minorHAnsi" w:hAnsiTheme="minorHAnsi"/>
                <w:sz w:val="22"/>
                <w:szCs w:val="22"/>
              </w:rPr>
              <w:t xml:space="preserve">souhlas k realizaci dotačního programu v rámci Operačního programu Doprava „Podpora výstavby infrastruktury pro alternativní paliva“. Program </w:t>
            </w:r>
            <w:r>
              <w:rPr>
                <w:rFonts w:asciiTheme="minorHAnsi" w:hAnsiTheme="minorHAnsi"/>
                <w:sz w:val="22"/>
                <w:szCs w:val="22"/>
              </w:rPr>
              <w:t>je rozdělen do pěti</w:t>
            </w:r>
            <w:r w:rsidRPr="003220E2">
              <w:rPr>
                <w:rFonts w:asciiTheme="minorHAnsi" w:hAnsiTheme="minorHAnsi"/>
                <w:sz w:val="22"/>
                <w:szCs w:val="22"/>
              </w:rPr>
              <w:t xml:space="preserve"> podprogramů</w:t>
            </w:r>
            <w:r>
              <w:rPr>
                <w:rFonts w:asciiTheme="minorHAnsi" w:hAnsiTheme="minorHAnsi"/>
                <w:sz w:val="22"/>
                <w:szCs w:val="22"/>
              </w:rPr>
              <w:t xml:space="preserve"> s celkovou alokací 1,2 mld. Kč, přičemž asi 850 mil. Kč by mělo být vyčleněno</w:t>
            </w:r>
            <w:r w:rsidRPr="003220E2">
              <w:rPr>
                <w:rFonts w:asciiTheme="minorHAnsi" w:hAnsiTheme="minorHAnsi"/>
                <w:sz w:val="22"/>
                <w:szCs w:val="22"/>
              </w:rPr>
              <w:t xml:space="preserve"> </w:t>
            </w:r>
            <w:r>
              <w:rPr>
                <w:rFonts w:asciiTheme="minorHAnsi" w:hAnsiTheme="minorHAnsi"/>
                <w:sz w:val="22"/>
                <w:szCs w:val="22"/>
              </w:rPr>
              <w:t>n</w:t>
            </w:r>
            <w:r w:rsidRPr="003220E2">
              <w:rPr>
                <w:rFonts w:asciiTheme="minorHAnsi" w:hAnsiTheme="minorHAnsi"/>
                <w:sz w:val="22"/>
                <w:szCs w:val="22"/>
              </w:rPr>
              <w:t xml:space="preserve">a oblast </w:t>
            </w:r>
            <w:proofErr w:type="spellStart"/>
            <w:r w:rsidRPr="003220E2">
              <w:rPr>
                <w:rFonts w:asciiTheme="minorHAnsi" w:hAnsiTheme="minorHAnsi"/>
                <w:sz w:val="22"/>
                <w:szCs w:val="22"/>
              </w:rPr>
              <w:t>elektromobility</w:t>
            </w:r>
            <w:proofErr w:type="spellEnd"/>
            <w:r>
              <w:rPr>
                <w:rFonts w:asciiTheme="minorHAnsi" w:hAnsiTheme="minorHAnsi"/>
                <w:sz w:val="22"/>
                <w:szCs w:val="22"/>
              </w:rPr>
              <w:t xml:space="preserve">, tedy </w:t>
            </w:r>
            <w:r w:rsidRPr="003220E2">
              <w:rPr>
                <w:rFonts w:asciiTheme="minorHAnsi" w:hAnsiTheme="minorHAnsi"/>
                <w:sz w:val="22"/>
                <w:szCs w:val="22"/>
              </w:rPr>
              <w:t xml:space="preserve">výstavby </w:t>
            </w:r>
            <w:proofErr w:type="spellStart"/>
            <w:r w:rsidRPr="003220E2">
              <w:rPr>
                <w:rFonts w:asciiTheme="minorHAnsi" w:hAnsiTheme="minorHAnsi"/>
                <w:sz w:val="22"/>
                <w:szCs w:val="22"/>
              </w:rPr>
              <w:t>rychlodobíjecích</w:t>
            </w:r>
            <w:proofErr w:type="spellEnd"/>
            <w:r w:rsidRPr="003220E2">
              <w:rPr>
                <w:rFonts w:asciiTheme="minorHAnsi" w:hAnsiTheme="minorHAnsi"/>
                <w:sz w:val="22"/>
                <w:szCs w:val="22"/>
              </w:rPr>
              <w:t xml:space="preserve"> a</w:t>
            </w:r>
            <w:r>
              <w:rPr>
                <w:rFonts w:asciiTheme="minorHAnsi" w:hAnsiTheme="minorHAnsi"/>
                <w:sz w:val="22"/>
                <w:szCs w:val="22"/>
              </w:rPr>
              <w:t> </w:t>
            </w:r>
            <w:r w:rsidRPr="003220E2">
              <w:rPr>
                <w:rFonts w:asciiTheme="minorHAnsi" w:hAnsiTheme="minorHAnsi"/>
                <w:sz w:val="22"/>
                <w:szCs w:val="22"/>
              </w:rPr>
              <w:t xml:space="preserve">běžných dobíjecích stanic. </w:t>
            </w:r>
            <w:r>
              <w:rPr>
                <w:rFonts w:asciiTheme="minorHAnsi" w:hAnsiTheme="minorHAnsi"/>
                <w:sz w:val="22"/>
                <w:szCs w:val="22"/>
              </w:rPr>
              <w:t>Část p</w:t>
            </w:r>
            <w:r w:rsidRPr="003220E2">
              <w:rPr>
                <w:rFonts w:asciiTheme="minorHAnsi" w:hAnsiTheme="minorHAnsi"/>
                <w:sz w:val="22"/>
                <w:szCs w:val="22"/>
              </w:rPr>
              <w:t>odpor</w:t>
            </w:r>
            <w:r>
              <w:rPr>
                <w:rFonts w:asciiTheme="minorHAnsi" w:hAnsiTheme="minorHAnsi"/>
                <w:sz w:val="22"/>
                <w:szCs w:val="22"/>
              </w:rPr>
              <w:t>y</w:t>
            </w:r>
            <w:r w:rsidRPr="003220E2">
              <w:rPr>
                <w:rFonts w:asciiTheme="minorHAnsi" w:hAnsiTheme="minorHAnsi"/>
                <w:sz w:val="22"/>
                <w:szCs w:val="22"/>
              </w:rPr>
              <w:t xml:space="preserve"> směř</w:t>
            </w:r>
            <w:r w:rsidR="00150987">
              <w:rPr>
                <w:rFonts w:asciiTheme="minorHAnsi" w:hAnsiTheme="minorHAnsi"/>
                <w:sz w:val="22"/>
                <w:szCs w:val="22"/>
              </w:rPr>
              <w:t>uje</w:t>
            </w:r>
            <w:r w:rsidRPr="003220E2">
              <w:rPr>
                <w:rFonts w:asciiTheme="minorHAnsi" w:hAnsiTheme="minorHAnsi"/>
                <w:sz w:val="22"/>
                <w:szCs w:val="22"/>
              </w:rPr>
              <w:t xml:space="preserve"> i do oblasti rozvoje CNG, LNG a vodíkových plnících</w:t>
            </w:r>
            <w:r>
              <w:rPr>
                <w:rFonts w:asciiTheme="minorHAnsi" w:hAnsiTheme="minorHAnsi"/>
                <w:sz w:val="22"/>
                <w:szCs w:val="22"/>
              </w:rPr>
              <w:t xml:space="preserve"> stanic.</w:t>
            </w:r>
            <w:r w:rsidRPr="003220E2">
              <w:rPr>
                <w:rFonts w:asciiTheme="minorHAnsi" w:hAnsiTheme="minorHAnsi"/>
                <w:sz w:val="22"/>
                <w:szCs w:val="22"/>
              </w:rPr>
              <w:t xml:space="preserve"> První výzva v podprogramu</w:t>
            </w:r>
            <w:r w:rsidR="00150987">
              <w:rPr>
                <w:rFonts w:asciiTheme="minorHAnsi" w:hAnsiTheme="minorHAnsi"/>
                <w:sz w:val="22"/>
                <w:szCs w:val="22"/>
              </w:rPr>
              <w:t xml:space="preserve"> 1a</w:t>
            </w:r>
            <w:r w:rsidRPr="003220E2">
              <w:rPr>
                <w:rFonts w:asciiTheme="minorHAnsi" w:hAnsiTheme="minorHAnsi"/>
                <w:sz w:val="22"/>
                <w:szCs w:val="22"/>
              </w:rPr>
              <w:t xml:space="preserve"> na výstavbu</w:t>
            </w:r>
            <w:r w:rsidR="00150987">
              <w:rPr>
                <w:rFonts w:asciiTheme="minorHAnsi" w:hAnsiTheme="minorHAnsi"/>
                <w:sz w:val="22"/>
                <w:szCs w:val="22"/>
              </w:rPr>
              <w:t xml:space="preserve"> páteřní</w:t>
            </w:r>
            <w:r w:rsidRPr="003220E2">
              <w:rPr>
                <w:rFonts w:asciiTheme="minorHAnsi" w:hAnsiTheme="minorHAnsi"/>
                <w:sz w:val="22"/>
                <w:szCs w:val="22"/>
              </w:rPr>
              <w:t xml:space="preserve"> sítě </w:t>
            </w:r>
            <w:proofErr w:type="spellStart"/>
            <w:r w:rsidRPr="003220E2">
              <w:rPr>
                <w:rFonts w:asciiTheme="minorHAnsi" w:hAnsiTheme="minorHAnsi"/>
                <w:sz w:val="22"/>
                <w:szCs w:val="22"/>
              </w:rPr>
              <w:t>rychlodobíjecích</w:t>
            </w:r>
            <w:proofErr w:type="spellEnd"/>
            <w:r w:rsidRPr="003220E2">
              <w:rPr>
                <w:rFonts w:asciiTheme="minorHAnsi" w:hAnsiTheme="minorHAnsi"/>
                <w:sz w:val="22"/>
                <w:szCs w:val="22"/>
              </w:rPr>
              <w:t xml:space="preserve"> stanic</w:t>
            </w:r>
            <w:r w:rsidR="00150987">
              <w:rPr>
                <w:rFonts w:asciiTheme="minorHAnsi" w:hAnsiTheme="minorHAnsi"/>
                <w:sz w:val="22"/>
                <w:szCs w:val="22"/>
              </w:rPr>
              <w:t xml:space="preserve"> byla vyhlášena v listopadu 2017, v podprogramu 1b na doplňkovou síť dobíjecích stanic v lednu 2018, v podprogramu 2 na CNG pln</w:t>
            </w:r>
            <w:r w:rsidR="00986FB6">
              <w:rPr>
                <w:rFonts w:asciiTheme="minorHAnsi" w:hAnsiTheme="minorHAnsi"/>
                <w:sz w:val="22"/>
                <w:szCs w:val="22"/>
              </w:rPr>
              <w:t>i</w:t>
            </w:r>
            <w:r w:rsidR="00150987">
              <w:rPr>
                <w:rFonts w:asciiTheme="minorHAnsi" w:hAnsiTheme="minorHAnsi"/>
                <w:sz w:val="22"/>
                <w:szCs w:val="22"/>
              </w:rPr>
              <w:t xml:space="preserve">cí stanice v březnu 2018, v podprogramu 3 na </w:t>
            </w:r>
            <w:r w:rsidR="00986FB6">
              <w:rPr>
                <w:rFonts w:asciiTheme="minorHAnsi" w:hAnsiTheme="minorHAnsi"/>
                <w:sz w:val="22"/>
                <w:szCs w:val="22"/>
              </w:rPr>
              <w:t>LNG plni</w:t>
            </w:r>
            <w:r w:rsidR="00150987">
              <w:rPr>
                <w:rFonts w:asciiTheme="minorHAnsi" w:hAnsiTheme="minorHAnsi"/>
                <w:sz w:val="22"/>
                <w:szCs w:val="22"/>
              </w:rPr>
              <w:t>cí stanice</w:t>
            </w:r>
            <w:r w:rsidR="00986FB6">
              <w:rPr>
                <w:rFonts w:asciiTheme="minorHAnsi" w:hAnsiTheme="minorHAnsi"/>
                <w:sz w:val="22"/>
                <w:szCs w:val="22"/>
              </w:rPr>
              <w:t xml:space="preserve"> v dubnu 2018</w:t>
            </w:r>
            <w:r w:rsidR="00282A1A">
              <w:rPr>
                <w:rFonts w:asciiTheme="minorHAnsi" w:hAnsiTheme="minorHAnsi"/>
                <w:sz w:val="22"/>
                <w:szCs w:val="22"/>
              </w:rPr>
              <w:t xml:space="preserve"> a</w:t>
            </w:r>
            <w:r w:rsidR="00150987">
              <w:rPr>
                <w:rFonts w:asciiTheme="minorHAnsi" w:hAnsiTheme="minorHAnsi"/>
                <w:sz w:val="22"/>
                <w:szCs w:val="22"/>
              </w:rPr>
              <w:t xml:space="preserve"> </w:t>
            </w:r>
            <w:r w:rsidR="00986FB6">
              <w:rPr>
                <w:rFonts w:asciiTheme="minorHAnsi" w:hAnsiTheme="minorHAnsi"/>
                <w:sz w:val="22"/>
                <w:szCs w:val="22"/>
              </w:rPr>
              <w:t>v podprogramu 4 na vodíkové plnicí</w:t>
            </w:r>
            <w:r w:rsidR="00150987">
              <w:rPr>
                <w:rFonts w:asciiTheme="minorHAnsi" w:hAnsiTheme="minorHAnsi"/>
                <w:sz w:val="22"/>
                <w:szCs w:val="22"/>
              </w:rPr>
              <w:t xml:space="preserve"> stanice</w:t>
            </w:r>
            <w:r w:rsidR="00986FB6">
              <w:rPr>
                <w:rFonts w:asciiTheme="minorHAnsi" w:hAnsiTheme="minorHAnsi"/>
                <w:sz w:val="22"/>
                <w:szCs w:val="22"/>
              </w:rPr>
              <w:t xml:space="preserve"> v květnu 2018</w:t>
            </w:r>
            <w:r w:rsidR="00282A1A">
              <w:rPr>
                <w:rFonts w:asciiTheme="minorHAnsi" w:hAnsiTheme="minorHAnsi"/>
                <w:sz w:val="22"/>
                <w:szCs w:val="22"/>
              </w:rPr>
              <w:t>.</w:t>
            </w:r>
            <w:r w:rsidR="00986FB6">
              <w:rPr>
                <w:rFonts w:asciiTheme="minorHAnsi" w:hAnsiTheme="minorHAnsi"/>
                <w:sz w:val="22"/>
                <w:szCs w:val="22"/>
              </w:rPr>
              <w:t xml:space="preserve"> </w:t>
            </w:r>
            <w:r w:rsidR="00282A1A">
              <w:rPr>
                <w:rFonts w:asciiTheme="minorHAnsi" w:hAnsiTheme="minorHAnsi"/>
                <w:sz w:val="22"/>
                <w:szCs w:val="22"/>
              </w:rPr>
              <w:t>D</w:t>
            </w:r>
            <w:r w:rsidR="00986FB6">
              <w:rPr>
                <w:rFonts w:asciiTheme="minorHAnsi" w:hAnsiTheme="minorHAnsi"/>
                <w:sz w:val="22"/>
                <w:szCs w:val="22"/>
              </w:rPr>
              <w:t xml:space="preserve">ruhá </w:t>
            </w:r>
            <w:r w:rsidR="00150987">
              <w:rPr>
                <w:rFonts w:asciiTheme="minorHAnsi" w:hAnsiTheme="minorHAnsi"/>
                <w:sz w:val="22"/>
                <w:szCs w:val="22"/>
              </w:rPr>
              <w:t xml:space="preserve">výzva na výstavbu páteřní sítě </w:t>
            </w:r>
            <w:proofErr w:type="spellStart"/>
            <w:r w:rsidR="00150987">
              <w:rPr>
                <w:rFonts w:asciiTheme="minorHAnsi" w:hAnsiTheme="minorHAnsi"/>
                <w:sz w:val="22"/>
                <w:szCs w:val="22"/>
              </w:rPr>
              <w:t>rychlodobíjecích</w:t>
            </w:r>
            <w:proofErr w:type="spellEnd"/>
            <w:r w:rsidR="00150987">
              <w:rPr>
                <w:rFonts w:asciiTheme="minorHAnsi" w:hAnsiTheme="minorHAnsi"/>
                <w:sz w:val="22"/>
                <w:szCs w:val="22"/>
              </w:rPr>
              <w:t xml:space="preserve"> stanic</w:t>
            </w:r>
            <w:r w:rsidR="00986FB6">
              <w:rPr>
                <w:rFonts w:asciiTheme="minorHAnsi" w:hAnsiTheme="minorHAnsi"/>
                <w:sz w:val="22"/>
                <w:szCs w:val="22"/>
              </w:rPr>
              <w:t xml:space="preserve"> </w:t>
            </w:r>
            <w:r w:rsidR="00282A1A">
              <w:rPr>
                <w:rFonts w:asciiTheme="minorHAnsi" w:hAnsiTheme="minorHAnsi"/>
                <w:sz w:val="22"/>
                <w:szCs w:val="22"/>
              </w:rPr>
              <w:t xml:space="preserve">byla vyhlášena </w:t>
            </w:r>
            <w:r w:rsidR="00986FB6">
              <w:rPr>
                <w:rFonts w:asciiTheme="minorHAnsi" w:hAnsiTheme="minorHAnsi"/>
                <w:sz w:val="22"/>
                <w:szCs w:val="22"/>
              </w:rPr>
              <w:t>v září 2018</w:t>
            </w:r>
            <w:r w:rsidR="00150987">
              <w:rPr>
                <w:rFonts w:asciiTheme="minorHAnsi" w:hAnsiTheme="minorHAnsi"/>
                <w:sz w:val="22"/>
                <w:szCs w:val="22"/>
              </w:rPr>
              <w:t>.</w:t>
            </w:r>
          </w:p>
          <w:p w14:paraId="22DCC501" w14:textId="39F27616" w:rsidR="002051EC" w:rsidRDefault="002051EC" w:rsidP="002051EC">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MPO v rámci OP PIK</w:t>
            </w:r>
            <w:r w:rsidRPr="002051EC">
              <w:rPr>
                <w:rFonts w:asciiTheme="minorHAnsi" w:hAnsiTheme="minorHAnsi"/>
                <w:sz w:val="22"/>
                <w:szCs w:val="22"/>
              </w:rPr>
              <w:t xml:space="preserve"> vyps</w:t>
            </w:r>
            <w:r>
              <w:rPr>
                <w:rFonts w:asciiTheme="minorHAnsi" w:hAnsiTheme="minorHAnsi"/>
                <w:sz w:val="22"/>
                <w:szCs w:val="22"/>
              </w:rPr>
              <w:t xml:space="preserve">alo během posledních tří let celkem </w:t>
            </w:r>
            <w:r w:rsidRPr="002051EC">
              <w:rPr>
                <w:rFonts w:asciiTheme="minorHAnsi" w:hAnsiTheme="minorHAnsi"/>
                <w:sz w:val="22"/>
                <w:szCs w:val="22"/>
              </w:rPr>
              <w:t xml:space="preserve">tři výzvy </w:t>
            </w:r>
            <w:r>
              <w:rPr>
                <w:rFonts w:asciiTheme="minorHAnsi" w:hAnsiTheme="minorHAnsi"/>
                <w:sz w:val="22"/>
                <w:szCs w:val="22"/>
              </w:rPr>
              <w:t xml:space="preserve">na získání </w:t>
            </w:r>
            <w:r w:rsidRPr="002051EC">
              <w:rPr>
                <w:rFonts w:asciiTheme="minorHAnsi" w:hAnsiTheme="minorHAnsi"/>
                <w:sz w:val="22"/>
                <w:szCs w:val="22"/>
              </w:rPr>
              <w:t>dotace na pořízení elektromobilu a</w:t>
            </w:r>
            <w:r>
              <w:rPr>
                <w:rFonts w:asciiTheme="minorHAnsi" w:hAnsiTheme="minorHAnsi"/>
                <w:sz w:val="22"/>
                <w:szCs w:val="22"/>
              </w:rPr>
              <w:t> </w:t>
            </w:r>
            <w:r w:rsidRPr="002051EC">
              <w:rPr>
                <w:rFonts w:asciiTheme="minorHAnsi" w:hAnsiTheme="minorHAnsi"/>
                <w:sz w:val="22"/>
                <w:szCs w:val="22"/>
              </w:rPr>
              <w:t xml:space="preserve">dobíjecí stanice pro podnikatele s alokací 80, 150 a 60 milionů </w:t>
            </w:r>
            <w:r>
              <w:rPr>
                <w:rFonts w:asciiTheme="minorHAnsi" w:hAnsiTheme="minorHAnsi"/>
                <w:sz w:val="22"/>
                <w:szCs w:val="22"/>
              </w:rPr>
              <w:t>Kč, přičemž v</w:t>
            </w:r>
            <w:r w:rsidRPr="002051EC">
              <w:rPr>
                <w:rFonts w:asciiTheme="minorHAnsi" w:hAnsiTheme="minorHAnsi"/>
                <w:sz w:val="22"/>
                <w:szCs w:val="22"/>
              </w:rPr>
              <w:t xml:space="preserve">e třetí </w:t>
            </w:r>
            <w:r>
              <w:rPr>
                <w:rFonts w:asciiTheme="minorHAnsi" w:hAnsiTheme="minorHAnsi"/>
                <w:sz w:val="22"/>
                <w:szCs w:val="22"/>
              </w:rPr>
              <w:t xml:space="preserve">výzvě </w:t>
            </w:r>
            <w:r w:rsidRPr="002051EC">
              <w:rPr>
                <w:rFonts w:asciiTheme="minorHAnsi" w:hAnsiTheme="minorHAnsi"/>
                <w:sz w:val="22"/>
                <w:szCs w:val="22"/>
              </w:rPr>
              <w:t xml:space="preserve">byl zaznamenán přebytek žádostí nad alokovanými prostředky. </w:t>
            </w:r>
            <w:r>
              <w:rPr>
                <w:rFonts w:asciiTheme="minorHAnsi" w:hAnsiTheme="minorHAnsi"/>
                <w:sz w:val="22"/>
                <w:szCs w:val="22"/>
              </w:rPr>
              <w:t>Z</w:t>
            </w:r>
            <w:r w:rsidRPr="002051EC">
              <w:rPr>
                <w:rFonts w:asciiTheme="minorHAnsi" w:hAnsiTheme="minorHAnsi"/>
                <w:sz w:val="22"/>
                <w:szCs w:val="22"/>
              </w:rPr>
              <w:t xml:space="preserve"> těchto výzev </w:t>
            </w:r>
            <w:r>
              <w:rPr>
                <w:rFonts w:asciiTheme="minorHAnsi" w:hAnsiTheme="minorHAnsi"/>
                <w:sz w:val="22"/>
                <w:szCs w:val="22"/>
              </w:rPr>
              <w:t xml:space="preserve">byl celkově </w:t>
            </w:r>
            <w:r w:rsidRPr="002051EC">
              <w:rPr>
                <w:rFonts w:asciiTheme="minorHAnsi" w:hAnsiTheme="minorHAnsi"/>
                <w:sz w:val="22"/>
                <w:szCs w:val="22"/>
              </w:rPr>
              <w:t>podpořen nákup 682 elektromobilů a zřízení 324 dobíjecích stanic. Čtvrtá v</w:t>
            </w:r>
            <w:r>
              <w:rPr>
                <w:rFonts w:asciiTheme="minorHAnsi" w:hAnsiTheme="minorHAnsi"/>
                <w:sz w:val="22"/>
                <w:szCs w:val="22"/>
              </w:rPr>
              <w:t>ýzva s alokací 200 milionů Kč</w:t>
            </w:r>
            <w:r w:rsidRPr="002051EC">
              <w:rPr>
                <w:rFonts w:asciiTheme="minorHAnsi" w:hAnsiTheme="minorHAnsi"/>
                <w:sz w:val="22"/>
                <w:szCs w:val="22"/>
              </w:rPr>
              <w:t xml:space="preserve"> je </w:t>
            </w:r>
            <w:r>
              <w:rPr>
                <w:rFonts w:asciiTheme="minorHAnsi" w:hAnsiTheme="minorHAnsi"/>
                <w:sz w:val="22"/>
                <w:szCs w:val="22"/>
              </w:rPr>
              <w:t xml:space="preserve">aktuálně </w:t>
            </w:r>
            <w:r w:rsidRPr="002051EC">
              <w:rPr>
                <w:rFonts w:asciiTheme="minorHAnsi" w:hAnsiTheme="minorHAnsi"/>
                <w:sz w:val="22"/>
                <w:szCs w:val="22"/>
              </w:rPr>
              <w:t>v přípravě.</w:t>
            </w:r>
          </w:p>
          <w:p w14:paraId="58D0ADE7" w14:textId="13596861" w:rsidR="00B3045B" w:rsidRPr="00B3045B" w:rsidRDefault="00B3045B" w:rsidP="00B3045B">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3045B">
              <w:rPr>
                <w:rFonts w:asciiTheme="minorHAnsi" w:hAnsiTheme="minorHAnsi"/>
                <w:sz w:val="22"/>
                <w:szCs w:val="22"/>
              </w:rPr>
              <w:t xml:space="preserve">MŽP v roce 2017 vyhlásilo v pořadí již druhou výzvu na podporu nákupu vozidel </w:t>
            </w:r>
            <w:r w:rsidR="000D121B">
              <w:rPr>
                <w:rFonts w:asciiTheme="minorHAnsi" w:hAnsiTheme="minorHAnsi"/>
                <w:sz w:val="22"/>
                <w:szCs w:val="22"/>
              </w:rPr>
              <w:t>z prostředků</w:t>
            </w:r>
            <w:r w:rsidR="00071A4B">
              <w:rPr>
                <w:rFonts w:asciiTheme="minorHAnsi" w:hAnsiTheme="minorHAnsi"/>
                <w:sz w:val="22"/>
                <w:szCs w:val="22"/>
              </w:rPr>
              <w:t xml:space="preserve"> Národního programu Životní prostředí </w:t>
            </w:r>
            <w:r w:rsidR="000D121B">
              <w:rPr>
                <w:rFonts w:asciiTheme="minorHAnsi" w:hAnsiTheme="minorHAnsi"/>
                <w:sz w:val="22"/>
                <w:szCs w:val="22"/>
              </w:rPr>
              <w:t xml:space="preserve">(NPŽP) </w:t>
            </w:r>
            <w:r w:rsidRPr="00B3045B">
              <w:rPr>
                <w:rFonts w:asciiTheme="minorHAnsi" w:hAnsiTheme="minorHAnsi"/>
                <w:sz w:val="22"/>
                <w:szCs w:val="22"/>
              </w:rPr>
              <w:t>pro obce a kraje a</w:t>
            </w:r>
            <w:r w:rsidR="000D121B">
              <w:rPr>
                <w:rFonts w:asciiTheme="minorHAnsi" w:hAnsiTheme="minorHAnsi"/>
                <w:sz w:val="22"/>
                <w:szCs w:val="22"/>
              </w:rPr>
              <w:t> </w:t>
            </w:r>
            <w:r w:rsidRPr="00B3045B">
              <w:rPr>
                <w:rFonts w:asciiTheme="minorHAnsi" w:hAnsiTheme="minorHAnsi"/>
                <w:sz w:val="22"/>
                <w:szCs w:val="22"/>
              </w:rPr>
              <w:t>organizace jimi zřízené</w:t>
            </w:r>
            <w:r w:rsidR="00071A4B">
              <w:rPr>
                <w:rFonts w:asciiTheme="minorHAnsi" w:hAnsiTheme="minorHAnsi"/>
                <w:sz w:val="22"/>
                <w:szCs w:val="22"/>
              </w:rPr>
              <w:t>, přičemž</w:t>
            </w:r>
            <w:r w:rsidRPr="00B3045B">
              <w:rPr>
                <w:rFonts w:asciiTheme="minorHAnsi" w:hAnsiTheme="minorHAnsi"/>
                <w:sz w:val="22"/>
                <w:szCs w:val="22"/>
              </w:rPr>
              <w:t xml:space="preserve"> </w:t>
            </w:r>
            <w:r w:rsidR="00071A4B">
              <w:rPr>
                <w:rFonts w:asciiTheme="minorHAnsi" w:hAnsiTheme="minorHAnsi"/>
                <w:sz w:val="22"/>
                <w:szCs w:val="22"/>
              </w:rPr>
              <w:t>a</w:t>
            </w:r>
            <w:r w:rsidRPr="00B3045B">
              <w:rPr>
                <w:rFonts w:asciiTheme="minorHAnsi" w:hAnsiTheme="minorHAnsi"/>
                <w:sz w:val="22"/>
                <w:szCs w:val="22"/>
              </w:rPr>
              <w:t>lokace</w:t>
            </w:r>
            <w:r w:rsidR="00071A4B">
              <w:rPr>
                <w:rFonts w:asciiTheme="minorHAnsi" w:hAnsiTheme="minorHAnsi"/>
                <w:sz w:val="22"/>
                <w:szCs w:val="22"/>
              </w:rPr>
              <w:t xml:space="preserve"> ve výši</w:t>
            </w:r>
            <w:r w:rsidRPr="00B3045B">
              <w:rPr>
                <w:rFonts w:asciiTheme="minorHAnsi" w:hAnsiTheme="minorHAnsi"/>
                <w:sz w:val="22"/>
                <w:szCs w:val="22"/>
              </w:rPr>
              <w:t xml:space="preserve"> 100 mil. Kč byla v</w:t>
            </w:r>
            <w:r w:rsidR="00E2556D">
              <w:rPr>
                <w:rFonts w:asciiTheme="minorHAnsi" w:hAnsiTheme="minorHAnsi"/>
                <w:sz w:val="22"/>
                <w:szCs w:val="22"/>
              </w:rPr>
              <w:t> </w:t>
            </w:r>
            <w:r w:rsidRPr="00B3045B">
              <w:rPr>
                <w:rFonts w:asciiTheme="minorHAnsi" w:hAnsiTheme="minorHAnsi"/>
                <w:sz w:val="22"/>
                <w:szCs w:val="22"/>
              </w:rPr>
              <w:t>předstihu vyčerpána.</w:t>
            </w:r>
            <w:r w:rsidR="000D121B">
              <w:rPr>
                <w:rFonts w:asciiTheme="minorHAnsi" w:hAnsiTheme="minorHAnsi"/>
                <w:sz w:val="22"/>
                <w:szCs w:val="22"/>
              </w:rPr>
              <w:t xml:space="preserve"> V rámci NPŽP</w:t>
            </w:r>
            <w:r w:rsidRPr="00B3045B">
              <w:rPr>
                <w:rFonts w:asciiTheme="minorHAnsi" w:hAnsiTheme="minorHAnsi"/>
                <w:sz w:val="22"/>
                <w:szCs w:val="22"/>
              </w:rPr>
              <w:t xml:space="preserve"> byla v roce 2018 vyhlášen</w:t>
            </w:r>
            <w:r w:rsidR="000D121B">
              <w:rPr>
                <w:rFonts w:asciiTheme="minorHAnsi" w:hAnsiTheme="minorHAnsi"/>
                <w:sz w:val="22"/>
                <w:szCs w:val="22"/>
              </w:rPr>
              <w:t xml:space="preserve">a </w:t>
            </w:r>
            <w:r w:rsidRPr="00B3045B">
              <w:rPr>
                <w:rFonts w:asciiTheme="minorHAnsi" w:hAnsiTheme="minorHAnsi"/>
                <w:sz w:val="22"/>
                <w:szCs w:val="22"/>
              </w:rPr>
              <w:t xml:space="preserve">také </w:t>
            </w:r>
            <w:r w:rsidR="000D121B">
              <w:rPr>
                <w:rFonts w:asciiTheme="minorHAnsi" w:hAnsiTheme="minorHAnsi"/>
                <w:sz w:val="22"/>
                <w:szCs w:val="22"/>
              </w:rPr>
              <w:t xml:space="preserve">již </w:t>
            </w:r>
            <w:r w:rsidRPr="00B3045B">
              <w:rPr>
                <w:rFonts w:asciiTheme="minorHAnsi" w:hAnsiTheme="minorHAnsi"/>
                <w:sz w:val="22"/>
                <w:szCs w:val="22"/>
              </w:rPr>
              <w:t xml:space="preserve">druhá výzva na podporu inovativních pilotních projektů, </w:t>
            </w:r>
            <w:r w:rsidR="000D121B">
              <w:rPr>
                <w:rFonts w:asciiTheme="minorHAnsi" w:hAnsiTheme="minorHAnsi"/>
                <w:sz w:val="22"/>
                <w:szCs w:val="22"/>
              </w:rPr>
              <w:t>která</w:t>
            </w:r>
            <w:r w:rsidRPr="00B3045B">
              <w:rPr>
                <w:rFonts w:asciiTheme="minorHAnsi" w:hAnsiTheme="minorHAnsi"/>
                <w:sz w:val="22"/>
                <w:szCs w:val="22"/>
              </w:rPr>
              <w:t xml:space="preserve"> zahrnu</w:t>
            </w:r>
            <w:r w:rsidR="000D121B">
              <w:rPr>
                <w:rFonts w:asciiTheme="minorHAnsi" w:hAnsiTheme="minorHAnsi"/>
                <w:sz w:val="22"/>
                <w:szCs w:val="22"/>
              </w:rPr>
              <w:t>je i oblast dopravy</w:t>
            </w:r>
            <w:r w:rsidRPr="00B3045B">
              <w:rPr>
                <w:rFonts w:asciiTheme="minorHAnsi" w:hAnsiTheme="minorHAnsi"/>
                <w:sz w:val="22"/>
                <w:szCs w:val="22"/>
              </w:rPr>
              <w:t>.</w:t>
            </w:r>
          </w:p>
          <w:p w14:paraId="5C29BD1D" w14:textId="008BB330" w:rsidR="00B3045B" w:rsidRPr="00634B52" w:rsidRDefault="000D121B" w:rsidP="000D121B">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 xml:space="preserve">V květnu </w:t>
            </w:r>
            <w:r w:rsidR="00B3045B" w:rsidRPr="00B3045B">
              <w:rPr>
                <w:rFonts w:asciiTheme="minorHAnsi" w:hAnsiTheme="minorHAnsi"/>
                <w:sz w:val="22"/>
                <w:szCs w:val="22"/>
              </w:rPr>
              <w:t xml:space="preserve">2018 </w:t>
            </w:r>
            <w:r>
              <w:rPr>
                <w:rFonts w:asciiTheme="minorHAnsi" w:hAnsiTheme="minorHAnsi"/>
                <w:sz w:val="22"/>
                <w:szCs w:val="22"/>
              </w:rPr>
              <w:t>bylo dále p</w:t>
            </w:r>
            <w:r w:rsidR="00B3045B" w:rsidRPr="00B3045B">
              <w:rPr>
                <w:rFonts w:asciiTheme="minorHAnsi" w:hAnsiTheme="minorHAnsi"/>
                <w:sz w:val="22"/>
                <w:szCs w:val="22"/>
              </w:rPr>
              <w:t>odeps</w:t>
            </w:r>
            <w:r>
              <w:rPr>
                <w:rFonts w:asciiTheme="minorHAnsi" w:hAnsiTheme="minorHAnsi"/>
                <w:sz w:val="22"/>
                <w:szCs w:val="22"/>
              </w:rPr>
              <w:t>áno</w:t>
            </w:r>
            <w:r w:rsidR="00B3045B" w:rsidRPr="00B3045B">
              <w:rPr>
                <w:rFonts w:asciiTheme="minorHAnsi" w:hAnsiTheme="minorHAnsi"/>
                <w:sz w:val="22"/>
                <w:szCs w:val="22"/>
              </w:rPr>
              <w:t xml:space="preserve"> </w:t>
            </w:r>
            <w:r w:rsidRPr="000D121B">
              <w:rPr>
                <w:rFonts w:asciiTheme="minorHAnsi" w:hAnsiTheme="minorHAnsi"/>
                <w:sz w:val="22"/>
                <w:szCs w:val="22"/>
              </w:rPr>
              <w:t>Memorandum o dlouhodobé spolupráci v</w:t>
            </w:r>
            <w:r>
              <w:rPr>
                <w:rFonts w:asciiTheme="minorHAnsi" w:hAnsiTheme="minorHAnsi"/>
                <w:sz w:val="22"/>
                <w:szCs w:val="22"/>
              </w:rPr>
              <w:t> </w:t>
            </w:r>
            <w:r w:rsidRPr="000D121B">
              <w:rPr>
                <w:rFonts w:asciiTheme="minorHAnsi" w:hAnsiTheme="minorHAnsi"/>
                <w:sz w:val="22"/>
                <w:szCs w:val="22"/>
              </w:rPr>
              <w:t>oblasti vozidel na zemní plyn pro období do roku 2025</w:t>
            </w:r>
            <w:r>
              <w:rPr>
                <w:rFonts w:asciiTheme="minorHAnsi" w:hAnsiTheme="minorHAnsi"/>
                <w:sz w:val="22"/>
                <w:szCs w:val="22"/>
              </w:rPr>
              <w:t>.</w:t>
            </w:r>
          </w:p>
        </w:tc>
      </w:tr>
    </w:tbl>
    <w:p w14:paraId="30C98461" w14:textId="38E206B7" w:rsidR="00710291" w:rsidRDefault="00710291">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710291" w:rsidRPr="006B443D" w14:paraId="4D7DC800" w14:textId="77777777" w:rsidTr="00710291">
        <w:tc>
          <w:tcPr>
            <w:tcW w:w="833" w:type="pct"/>
            <w:shd w:val="clear" w:color="auto" w:fill="DBE5F1" w:themeFill="accent1" w:themeFillTint="33"/>
            <w:vAlign w:val="center"/>
          </w:tcPr>
          <w:p w14:paraId="3DE85AE6" w14:textId="77777777" w:rsidR="00710291" w:rsidRPr="006B443D" w:rsidRDefault="00710291" w:rsidP="00B2337B">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15F40558" w14:textId="77777777" w:rsidR="00710291" w:rsidRPr="006B443D" w:rsidRDefault="005B2120" w:rsidP="00B2337B">
            <w:pPr>
              <w:keepNext/>
              <w:spacing w:before="120" w:after="120"/>
              <w:jc w:val="both"/>
              <w:rPr>
                <w:rFonts w:asciiTheme="minorHAnsi" w:hAnsiTheme="minorHAnsi"/>
                <w:b/>
                <w:sz w:val="22"/>
                <w:szCs w:val="22"/>
              </w:rPr>
            </w:pPr>
            <w:r w:rsidRPr="005B2120">
              <w:rPr>
                <w:rFonts w:asciiTheme="minorHAnsi" w:hAnsiTheme="minorHAnsi"/>
                <w:b/>
                <w:sz w:val="22"/>
                <w:szCs w:val="22"/>
              </w:rPr>
              <w:t>Prověření připravenosti energetických odvětví na případnou situaci stavů nouze</w:t>
            </w:r>
          </w:p>
        </w:tc>
      </w:tr>
      <w:tr w:rsidR="00710291" w:rsidRPr="006B443D" w14:paraId="7D5E96E5" w14:textId="77777777" w:rsidTr="00710291">
        <w:tc>
          <w:tcPr>
            <w:tcW w:w="833" w:type="pct"/>
            <w:vAlign w:val="center"/>
          </w:tcPr>
          <w:p w14:paraId="6D6E8954"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449759D8" w14:textId="77777777" w:rsidR="00710291" w:rsidRPr="006B443D" w:rsidRDefault="005B2120" w:rsidP="005B2120">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5B2120">
              <w:rPr>
                <w:rFonts w:asciiTheme="minorHAnsi" w:hAnsiTheme="minorHAnsi"/>
                <w:sz w:val="22"/>
                <w:szCs w:val="22"/>
              </w:rPr>
              <w:t>Pravidelná cvičení a prověřování funkčnosti systému krizového řízení v síťových energetických odvětvích (elektřina, plyn, teplo, ropa a jejich vzájemné vlivy).</w:t>
            </w:r>
          </w:p>
        </w:tc>
      </w:tr>
      <w:tr w:rsidR="00710291" w:rsidRPr="006B443D" w14:paraId="79B68FD6" w14:textId="77777777" w:rsidTr="00710291">
        <w:tc>
          <w:tcPr>
            <w:tcW w:w="833" w:type="pct"/>
            <w:vAlign w:val="center"/>
          </w:tcPr>
          <w:p w14:paraId="30CFD0D2"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2F8AC50F" w14:textId="77777777" w:rsidR="00710291" w:rsidRPr="006B443D" w:rsidRDefault="005B2120" w:rsidP="00710291">
            <w:pPr>
              <w:spacing w:before="120" w:after="120"/>
              <w:jc w:val="both"/>
              <w:rPr>
                <w:rFonts w:asciiTheme="minorHAnsi" w:hAnsiTheme="minorHAnsi"/>
                <w:sz w:val="22"/>
                <w:szCs w:val="22"/>
              </w:rPr>
            </w:pPr>
            <w:r w:rsidRPr="005B2120">
              <w:rPr>
                <w:rFonts w:asciiTheme="minorHAnsi" w:hAnsiTheme="minorHAnsi"/>
                <w:sz w:val="22"/>
                <w:szCs w:val="22"/>
              </w:rPr>
              <w:t>MPO, SSHR, MV</w:t>
            </w:r>
          </w:p>
        </w:tc>
      </w:tr>
      <w:tr w:rsidR="00710291" w:rsidRPr="006B443D" w14:paraId="328EA76A" w14:textId="77777777" w:rsidTr="00710291">
        <w:tc>
          <w:tcPr>
            <w:tcW w:w="833" w:type="pct"/>
            <w:vAlign w:val="center"/>
          </w:tcPr>
          <w:p w14:paraId="6BB8F834"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3216DFA6" w14:textId="77777777" w:rsidR="00710291" w:rsidRPr="006B443D" w:rsidRDefault="005B2120" w:rsidP="00710291">
            <w:pPr>
              <w:spacing w:before="120" w:after="120"/>
              <w:jc w:val="both"/>
              <w:rPr>
                <w:rFonts w:asciiTheme="minorHAnsi" w:hAnsiTheme="minorHAnsi"/>
                <w:sz w:val="22"/>
                <w:szCs w:val="22"/>
              </w:rPr>
            </w:pPr>
            <w:r w:rsidRPr="005B2120">
              <w:rPr>
                <w:rFonts w:asciiTheme="minorHAnsi" w:hAnsiTheme="minorHAnsi"/>
                <w:sz w:val="22"/>
                <w:szCs w:val="22"/>
              </w:rPr>
              <w:t>31. 12. 2014 + jednou za 2 roky</w:t>
            </w:r>
          </w:p>
        </w:tc>
      </w:tr>
      <w:tr w:rsidR="00710291" w:rsidRPr="006B443D" w14:paraId="507A179F" w14:textId="77777777" w:rsidTr="00710291">
        <w:tc>
          <w:tcPr>
            <w:tcW w:w="833" w:type="pct"/>
            <w:vAlign w:val="center"/>
          </w:tcPr>
          <w:p w14:paraId="25B96B9F"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55626BA2" w14:textId="77777777" w:rsidR="005B2120" w:rsidRPr="00496481" w:rsidRDefault="005B2120" w:rsidP="005B2120">
            <w:pPr>
              <w:overflowPunct w:val="0"/>
              <w:autoSpaceDE w:val="0"/>
              <w:autoSpaceDN w:val="0"/>
              <w:adjustRightInd w:val="0"/>
              <w:spacing w:before="120" w:after="120"/>
              <w:jc w:val="both"/>
              <w:textAlignment w:val="baseline"/>
              <w:rPr>
                <w:rFonts w:ascii="Calibri" w:hAnsi="Calibri"/>
                <w:b/>
                <w:sz w:val="22"/>
                <w:szCs w:val="22"/>
              </w:rPr>
            </w:pPr>
            <w:r w:rsidRPr="00496481">
              <w:rPr>
                <w:rFonts w:ascii="Calibri" w:hAnsi="Calibri"/>
                <w:b/>
                <w:sz w:val="22"/>
                <w:szCs w:val="22"/>
              </w:rPr>
              <w:t>Splněno + plněno průběžně</w:t>
            </w:r>
          </w:p>
          <w:p w14:paraId="3BC7FA85" w14:textId="08CE7A25" w:rsidR="005B2120" w:rsidRPr="00496481" w:rsidRDefault="005B2120" w:rsidP="005B2120">
            <w:pPr>
              <w:pStyle w:val="Odstavecseseznamem"/>
              <w:numPr>
                <w:ilvl w:val="0"/>
                <w:numId w:val="4"/>
              </w:numPr>
              <w:overflowPunct w:val="0"/>
              <w:autoSpaceDE w:val="0"/>
              <w:autoSpaceDN w:val="0"/>
              <w:adjustRightInd w:val="0"/>
              <w:spacing w:before="120" w:after="120"/>
              <w:ind w:left="284" w:hanging="284"/>
              <w:jc w:val="both"/>
              <w:textAlignment w:val="baseline"/>
              <w:rPr>
                <w:rFonts w:ascii="Calibri" w:hAnsi="Calibri"/>
                <w:sz w:val="22"/>
                <w:szCs w:val="22"/>
              </w:rPr>
            </w:pPr>
            <w:r w:rsidRPr="00496481">
              <w:rPr>
                <w:rFonts w:ascii="Calibri" w:hAnsi="Calibri"/>
                <w:sz w:val="22"/>
                <w:szCs w:val="22"/>
              </w:rPr>
              <w:t>V oblasti elektroenergetiky provádí společnost ČEPS, a.s., pravidelná cvičení a</w:t>
            </w:r>
            <w:r w:rsidR="002F1E7C">
              <w:rPr>
                <w:rFonts w:ascii="Calibri" w:hAnsi="Calibri"/>
                <w:sz w:val="22"/>
                <w:szCs w:val="22"/>
              </w:rPr>
              <w:t> </w:t>
            </w:r>
            <w:r w:rsidRPr="00496481">
              <w:rPr>
                <w:rFonts w:ascii="Calibri" w:hAnsi="Calibri"/>
                <w:sz w:val="22"/>
                <w:szCs w:val="22"/>
              </w:rPr>
              <w:t>prověřování funkčnosti krizového řízení v rámci ČR i v rámci mezinárodní spolupráce za účasti složek Integrovaného záchranného systému. V oblasti plynárenství provedla společnost NET4GAS, s.r.o., cvičení v roce 2014.</w:t>
            </w:r>
          </w:p>
          <w:p w14:paraId="01E2A3E6" w14:textId="77777777" w:rsidR="005B2120" w:rsidRPr="00636214" w:rsidRDefault="005B2120" w:rsidP="005B2120">
            <w:pPr>
              <w:pStyle w:val="Odstavecseseznamem"/>
              <w:numPr>
                <w:ilvl w:val="0"/>
                <w:numId w:val="4"/>
              </w:numPr>
              <w:overflowPunct w:val="0"/>
              <w:autoSpaceDE w:val="0"/>
              <w:autoSpaceDN w:val="0"/>
              <w:adjustRightInd w:val="0"/>
              <w:spacing w:before="120" w:after="120"/>
              <w:ind w:left="284" w:hanging="284"/>
              <w:jc w:val="both"/>
              <w:textAlignment w:val="baseline"/>
              <w:rPr>
                <w:rFonts w:ascii="Calibri" w:hAnsi="Calibri"/>
                <w:sz w:val="22"/>
                <w:szCs w:val="22"/>
              </w:rPr>
            </w:pPr>
            <w:r w:rsidRPr="00496481">
              <w:rPr>
                <w:rFonts w:ascii="Calibri" w:hAnsi="Calibri"/>
                <w:sz w:val="22"/>
                <w:szCs w:val="22"/>
              </w:rPr>
              <w:t>Byl zpracován</w:t>
            </w:r>
            <w:r w:rsidR="00D732E0" w:rsidRPr="00496481">
              <w:rPr>
                <w:rFonts w:ascii="Calibri" w:hAnsi="Calibri"/>
                <w:sz w:val="22"/>
                <w:szCs w:val="22"/>
              </w:rPr>
              <w:t xml:space="preserve"> materiál</w:t>
            </w:r>
            <w:r w:rsidRPr="00496481">
              <w:rPr>
                <w:rFonts w:ascii="Calibri" w:hAnsi="Calibri"/>
                <w:sz w:val="22"/>
                <w:szCs w:val="22"/>
              </w:rPr>
              <w:t xml:space="preserve"> </w:t>
            </w:r>
            <w:r w:rsidR="00D732E0" w:rsidRPr="00496481">
              <w:rPr>
                <w:rFonts w:ascii="Calibri" w:hAnsi="Calibri"/>
                <w:sz w:val="22"/>
                <w:szCs w:val="22"/>
              </w:rPr>
              <w:t>„</w:t>
            </w:r>
            <w:r w:rsidRPr="00496481">
              <w:rPr>
                <w:rFonts w:ascii="Calibri" w:hAnsi="Calibri"/>
                <w:sz w:val="22"/>
                <w:szCs w:val="22"/>
              </w:rPr>
              <w:t>Analýza dopadů vícenásobného teroristického útoku na přenosovou soustavu</w:t>
            </w:r>
            <w:r w:rsidR="00D732E0" w:rsidRPr="00496481">
              <w:rPr>
                <w:rFonts w:ascii="Calibri" w:hAnsi="Calibri"/>
                <w:sz w:val="22"/>
                <w:szCs w:val="22"/>
              </w:rPr>
              <w:t>“</w:t>
            </w:r>
            <w:r w:rsidRPr="00496481">
              <w:rPr>
                <w:rFonts w:ascii="Calibri" w:hAnsi="Calibri"/>
                <w:sz w:val="22"/>
                <w:szCs w:val="22"/>
              </w:rPr>
              <w:t xml:space="preserve">, v jejímž rámci bylo vytipováno několik nejcitlivějších </w:t>
            </w:r>
            <w:r w:rsidRPr="00496481">
              <w:rPr>
                <w:rFonts w:ascii="Calibri" w:hAnsi="Calibri"/>
                <w:sz w:val="22"/>
                <w:szCs w:val="22"/>
              </w:rPr>
              <w:lastRenderedPageBreak/>
              <w:t xml:space="preserve">míst, při jejichž současném napadení v kritický den s maximálním zatížením vedení a v kombinaci s odstávkami v rámci realizace plánovaného investičního programu by mohlo dojít k velkoplošnému výpadku dodávek elektrické energie. </w:t>
            </w:r>
            <w:r w:rsidR="00D732E0" w:rsidRPr="00496481">
              <w:rPr>
                <w:rFonts w:ascii="Calibri" w:hAnsi="Calibri"/>
                <w:sz w:val="22"/>
                <w:szCs w:val="22"/>
              </w:rPr>
              <w:t>Touto</w:t>
            </w:r>
            <w:r w:rsidRPr="00496481">
              <w:rPr>
                <w:rFonts w:ascii="Calibri" w:hAnsi="Calibri"/>
                <w:sz w:val="22"/>
                <w:szCs w:val="22"/>
              </w:rPr>
              <w:t xml:space="preserve"> analýz</w:t>
            </w:r>
            <w:r w:rsidR="00D732E0" w:rsidRPr="00496481">
              <w:rPr>
                <w:rFonts w:ascii="Calibri" w:hAnsi="Calibri"/>
                <w:sz w:val="22"/>
                <w:szCs w:val="22"/>
              </w:rPr>
              <w:t>ou</w:t>
            </w:r>
            <w:r w:rsidRPr="00496481">
              <w:rPr>
                <w:rFonts w:ascii="Calibri" w:hAnsi="Calibri"/>
                <w:sz w:val="22"/>
                <w:szCs w:val="22"/>
              </w:rPr>
              <w:t xml:space="preserve"> se podařilo posoudit stávající bezpečnostní dokumenty s cílem zk</w:t>
            </w:r>
            <w:r w:rsidRPr="00636214">
              <w:rPr>
                <w:rFonts w:ascii="Calibri" w:hAnsi="Calibri"/>
                <w:sz w:val="22"/>
                <w:szCs w:val="22"/>
              </w:rPr>
              <w:t>valitnit podmínky pro rychlý a efektivní zákrok složek Integrovaného záchranného systému, minimalizovat dojezdový čas, a reakci na signál typu „tíseň“, zkvalitnit krizovou komunikaci a standardizaci bezpečnostních postupů a procedur.</w:t>
            </w:r>
          </w:p>
          <w:p w14:paraId="5CB86E77" w14:textId="21BD9895" w:rsidR="00636214" w:rsidRPr="00636214" w:rsidRDefault="00636214" w:rsidP="005B2120">
            <w:pPr>
              <w:pStyle w:val="Odstavecseseznamem"/>
              <w:numPr>
                <w:ilvl w:val="0"/>
                <w:numId w:val="4"/>
              </w:numPr>
              <w:overflowPunct w:val="0"/>
              <w:autoSpaceDE w:val="0"/>
              <w:autoSpaceDN w:val="0"/>
              <w:adjustRightInd w:val="0"/>
              <w:spacing w:before="120" w:after="120"/>
              <w:ind w:left="284" w:hanging="284"/>
              <w:jc w:val="both"/>
              <w:textAlignment w:val="baseline"/>
              <w:rPr>
                <w:rFonts w:ascii="Calibri" w:hAnsi="Calibri"/>
                <w:sz w:val="22"/>
                <w:szCs w:val="22"/>
              </w:rPr>
            </w:pPr>
            <w:r w:rsidRPr="00636214">
              <w:rPr>
                <w:rFonts w:ascii="Calibri" w:hAnsi="Calibri"/>
                <w:sz w:val="22"/>
                <w:szCs w:val="22"/>
              </w:rPr>
              <w:t xml:space="preserve">V oblasti plynárenství </w:t>
            </w:r>
            <w:r>
              <w:rPr>
                <w:rFonts w:ascii="Calibri" w:hAnsi="Calibri"/>
                <w:sz w:val="22"/>
                <w:szCs w:val="22"/>
              </w:rPr>
              <w:t xml:space="preserve">jsou pořádána </w:t>
            </w:r>
            <w:r w:rsidRPr="00636214">
              <w:rPr>
                <w:rFonts w:ascii="Calibri" w:hAnsi="Calibri"/>
                <w:sz w:val="22"/>
                <w:szCs w:val="22"/>
              </w:rPr>
              <w:t>pravideln</w:t>
            </w:r>
            <w:r>
              <w:rPr>
                <w:rFonts w:ascii="Calibri" w:hAnsi="Calibri"/>
                <w:sz w:val="22"/>
                <w:szCs w:val="22"/>
              </w:rPr>
              <w:t>á</w:t>
            </w:r>
            <w:r w:rsidRPr="00636214">
              <w:rPr>
                <w:rFonts w:ascii="Calibri" w:hAnsi="Calibri"/>
                <w:sz w:val="22"/>
                <w:szCs w:val="22"/>
              </w:rPr>
              <w:t xml:space="preserve"> zasedá</w:t>
            </w:r>
            <w:r>
              <w:rPr>
                <w:rFonts w:ascii="Calibri" w:hAnsi="Calibri"/>
                <w:sz w:val="22"/>
                <w:szCs w:val="22"/>
              </w:rPr>
              <w:t>ní</w:t>
            </w:r>
            <w:r w:rsidRPr="00636214">
              <w:rPr>
                <w:rFonts w:ascii="Calibri" w:hAnsi="Calibri"/>
                <w:sz w:val="22"/>
                <w:szCs w:val="22"/>
              </w:rPr>
              <w:t xml:space="preserve"> Centrální krizový štáb plynárenství, který pod vedením</w:t>
            </w:r>
            <w:r>
              <w:rPr>
                <w:rFonts w:ascii="Calibri" w:hAnsi="Calibri"/>
                <w:sz w:val="22"/>
                <w:szCs w:val="22"/>
              </w:rPr>
              <w:t xml:space="preserve"> společnosti</w:t>
            </w:r>
            <w:r w:rsidRPr="00636214">
              <w:rPr>
                <w:rFonts w:ascii="Calibri" w:hAnsi="Calibri"/>
                <w:sz w:val="22"/>
                <w:szCs w:val="22"/>
              </w:rPr>
              <w:t xml:space="preserve"> NET4GAS</w:t>
            </w:r>
            <w:r>
              <w:rPr>
                <w:rFonts w:ascii="Calibri" w:hAnsi="Calibri"/>
                <w:sz w:val="22"/>
                <w:szCs w:val="22"/>
              </w:rPr>
              <w:t>, s.r.o.,</w:t>
            </w:r>
            <w:r w:rsidRPr="00636214">
              <w:rPr>
                <w:rFonts w:ascii="Calibri" w:hAnsi="Calibri"/>
                <w:sz w:val="22"/>
                <w:szCs w:val="22"/>
              </w:rPr>
              <w:t xml:space="preserve"> přijímá opatření </w:t>
            </w:r>
            <w:r>
              <w:rPr>
                <w:rFonts w:ascii="Calibri" w:hAnsi="Calibri"/>
                <w:sz w:val="22"/>
                <w:szCs w:val="22"/>
              </w:rPr>
              <w:t>pro</w:t>
            </w:r>
            <w:r w:rsidRPr="00636214">
              <w:rPr>
                <w:rFonts w:ascii="Calibri" w:hAnsi="Calibri"/>
                <w:sz w:val="22"/>
                <w:szCs w:val="22"/>
              </w:rPr>
              <w:t xml:space="preserve"> řízení plynárenské soustavy při stavech nouze </w:t>
            </w:r>
            <w:r>
              <w:rPr>
                <w:rFonts w:ascii="Calibri" w:hAnsi="Calibri"/>
                <w:sz w:val="22"/>
                <w:szCs w:val="22"/>
              </w:rPr>
              <w:t>nebo</w:t>
            </w:r>
            <w:r w:rsidRPr="00636214">
              <w:rPr>
                <w:rFonts w:ascii="Calibri" w:hAnsi="Calibri"/>
                <w:sz w:val="22"/>
                <w:szCs w:val="22"/>
              </w:rPr>
              <w:t xml:space="preserve"> jejich předcházení. </w:t>
            </w:r>
            <w:r>
              <w:rPr>
                <w:rFonts w:ascii="Calibri" w:hAnsi="Calibri"/>
                <w:sz w:val="22"/>
                <w:szCs w:val="22"/>
              </w:rPr>
              <w:t>V rámci</w:t>
            </w:r>
            <w:r w:rsidRPr="00636214">
              <w:rPr>
                <w:rFonts w:ascii="Calibri" w:hAnsi="Calibri"/>
                <w:sz w:val="22"/>
                <w:szCs w:val="22"/>
              </w:rPr>
              <w:t xml:space="preserve"> zasedání Centrálního krizového štábu je </w:t>
            </w:r>
            <w:r>
              <w:rPr>
                <w:rFonts w:ascii="Calibri" w:hAnsi="Calibri"/>
                <w:sz w:val="22"/>
                <w:szCs w:val="22"/>
              </w:rPr>
              <w:t xml:space="preserve">také </w:t>
            </w:r>
            <w:r w:rsidRPr="00636214">
              <w:rPr>
                <w:rFonts w:ascii="Calibri" w:hAnsi="Calibri"/>
                <w:sz w:val="22"/>
                <w:szCs w:val="22"/>
              </w:rPr>
              <w:t>prověřována připravenost na stav nouze, jsou prověřována jednotlivá dílčí opatření a plánovány simulace krizových situací.</w:t>
            </w:r>
          </w:p>
          <w:p w14:paraId="6EB67163" w14:textId="093068F9" w:rsidR="005B2120" w:rsidRPr="005547AE" w:rsidRDefault="005B2120" w:rsidP="005B2120">
            <w:pPr>
              <w:pStyle w:val="Odstavecseseznamem"/>
              <w:numPr>
                <w:ilvl w:val="0"/>
                <w:numId w:val="4"/>
              </w:numPr>
              <w:overflowPunct w:val="0"/>
              <w:autoSpaceDE w:val="0"/>
              <w:autoSpaceDN w:val="0"/>
              <w:adjustRightInd w:val="0"/>
              <w:spacing w:before="120" w:after="120"/>
              <w:ind w:left="284" w:hanging="284"/>
              <w:jc w:val="both"/>
              <w:textAlignment w:val="baseline"/>
              <w:rPr>
                <w:rFonts w:ascii="Calibri" w:hAnsi="Calibri"/>
                <w:sz w:val="22"/>
                <w:szCs w:val="22"/>
              </w:rPr>
            </w:pPr>
            <w:r w:rsidRPr="00636214">
              <w:rPr>
                <w:rFonts w:ascii="Calibri" w:hAnsi="Calibri"/>
                <w:sz w:val="22"/>
                <w:szCs w:val="22"/>
              </w:rPr>
              <w:t>SSHR provádí pravidelná (cca jednou ročně) cvičení</w:t>
            </w:r>
            <w:r w:rsidRPr="00496481">
              <w:rPr>
                <w:rFonts w:ascii="Calibri" w:hAnsi="Calibri"/>
                <w:sz w:val="22"/>
                <w:szCs w:val="22"/>
              </w:rPr>
              <w:t>, je</w:t>
            </w:r>
            <w:r w:rsidR="00B87620">
              <w:rPr>
                <w:rFonts w:ascii="Calibri" w:hAnsi="Calibri"/>
                <w:sz w:val="22"/>
                <w:szCs w:val="22"/>
              </w:rPr>
              <w:t>jichž</w:t>
            </w:r>
            <w:r w:rsidRPr="00496481">
              <w:rPr>
                <w:rFonts w:ascii="Calibri" w:hAnsi="Calibri"/>
                <w:sz w:val="22"/>
                <w:szCs w:val="22"/>
              </w:rPr>
              <w:t xml:space="preserve"> účelem je prověřovat nastavené mechanismy při řešení dlouhodobého nedostatku ropy a ropných produktů a použití nouzových zásob.</w:t>
            </w:r>
            <w:r w:rsidR="00B87620">
              <w:rPr>
                <w:rFonts w:ascii="Calibri" w:hAnsi="Calibri"/>
                <w:sz w:val="22"/>
                <w:szCs w:val="22"/>
              </w:rPr>
              <w:t xml:space="preserve"> V roce 2016 se tak uskutečnilo společné cvičení s Krajským úřadem Plzeňsk</w:t>
            </w:r>
            <w:r w:rsidR="00B87620" w:rsidRPr="005547AE">
              <w:rPr>
                <w:rFonts w:ascii="Calibri" w:hAnsi="Calibri"/>
                <w:sz w:val="22"/>
                <w:szCs w:val="22"/>
              </w:rPr>
              <w:t>ého kraje „Ropná nouze 2016“</w:t>
            </w:r>
            <w:r w:rsidR="00783002" w:rsidRPr="005547AE">
              <w:rPr>
                <w:rFonts w:ascii="Calibri" w:hAnsi="Calibri"/>
                <w:sz w:val="22"/>
                <w:szCs w:val="22"/>
              </w:rPr>
              <w:t xml:space="preserve"> a společné cvičení s Krajským úřadem Pardubického kraje zaměřené na plošný výpadek elekt</w:t>
            </w:r>
            <w:r w:rsidR="00783002" w:rsidRPr="0054789C">
              <w:rPr>
                <w:rFonts w:ascii="Calibri" w:hAnsi="Calibri"/>
                <w:sz w:val="22"/>
                <w:szCs w:val="22"/>
              </w:rPr>
              <w:t>rické energie přesahující území kraje.</w:t>
            </w:r>
            <w:r w:rsidR="005547AE" w:rsidRPr="005547AE">
              <w:rPr>
                <w:rFonts w:ascii="Calibri" w:hAnsi="Calibri"/>
                <w:sz w:val="22"/>
                <w:szCs w:val="22"/>
              </w:rPr>
              <w:t xml:space="preserve"> V první polovině roku 2018 se SSHR zúčastnila cvičení Mezinárodní energetické agentury</w:t>
            </w:r>
            <w:r w:rsidR="005547AE">
              <w:rPr>
                <w:rFonts w:ascii="Calibri" w:hAnsi="Calibri"/>
                <w:sz w:val="22"/>
                <w:szCs w:val="22"/>
              </w:rPr>
              <w:t xml:space="preserve"> (IEA) s názvem</w:t>
            </w:r>
            <w:r w:rsidR="005547AE" w:rsidRPr="005547AE">
              <w:rPr>
                <w:rFonts w:ascii="Calibri" w:hAnsi="Calibri"/>
                <w:sz w:val="22"/>
                <w:szCs w:val="22"/>
              </w:rPr>
              <w:t xml:space="preserve"> „</w:t>
            </w:r>
            <w:proofErr w:type="spellStart"/>
            <w:r w:rsidR="005547AE" w:rsidRPr="005547AE">
              <w:rPr>
                <w:rFonts w:ascii="Calibri" w:hAnsi="Calibri"/>
                <w:sz w:val="22"/>
                <w:szCs w:val="22"/>
              </w:rPr>
              <w:t>Emergency</w:t>
            </w:r>
            <w:proofErr w:type="spellEnd"/>
            <w:r w:rsidR="005547AE" w:rsidRPr="005547AE">
              <w:rPr>
                <w:rFonts w:ascii="Calibri" w:hAnsi="Calibri"/>
                <w:sz w:val="22"/>
                <w:szCs w:val="22"/>
              </w:rPr>
              <w:t xml:space="preserve"> Response </w:t>
            </w:r>
            <w:proofErr w:type="spellStart"/>
            <w:r w:rsidR="005547AE" w:rsidRPr="005547AE">
              <w:rPr>
                <w:rFonts w:ascii="Calibri" w:hAnsi="Calibri"/>
                <w:sz w:val="22"/>
                <w:szCs w:val="22"/>
              </w:rPr>
              <w:t>Exercise</w:t>
            </w:r>
            <w:proofErr w:type="spellEnd"/>
            <w:r w:rsidR="005547AE" w:rsidRPr="005547AE">
              <w:rPr>
                <w:rFonts w:ascii="Calibri" w:hAnsi="Calibri"/>
                <w:sz w:val="22"/>
                <w:szCs w:val="22"/>
              </w:rPr>
              <w:t xml:space="preserve"> 9“ zaměřeného na řešení situací souvisejících s globálními výpadky dodávek ropy. V březnu 2018 se SSHR aktivně zúčastnila cvičení států V4 zaměřeného na řešení situací souvisejících s regionálními výpadky dodávek ropy. V září 2018 se SSHR zúčastnila cvičení Krajského úřadu Středočeského kraje „</w:t>
            </w:r>
            <w:proofErr w:type="spellStart"/>
            <w:r w:rsidR="005547AE" w:rsidRPr="005547AE">
              <w:rPr>
                <w:rFonts w:ascii="Calibri" w:hAnsi="Calibri"/>
                <w:sz w:val="22"/>
                <w:szCs w:val="22"/>
              </w:rPr>
              <w:t>Blackout</w:t>
            </w:r>
            <w:proofErr w:type="spellEnd"/>
            <w:r w:rsidR="005547AE" w:rsidRPr="005547AE">
              <w:rPr>
                <w:rFonts w:ascii="Calibri" w:hAnsi="Calibri"/>
                <w:sz w:val="22"/>
                <w:szCs w:val="22"/>
              </w:rPr>
              <w:t>“</w:t>
            </w:r>
            <w:r w:rsidR="005547AE">
              <w:rPr>
                <w:rFonts w:ascii="Calibri" w:hAnsi="Calibri"/>
                <w:sz w:val="22"/>
                <w:szCs w:val="22"/>
              </w:rPr>
              <w:t xml:space="preserve">, v jehož rámci byl </w:t>
            </w:r>
            <w:r w:rsidR="00B13B77">
              <w:rPr>
                <w:rFonts w:ascii="Calibri" w:hAnsi="Calibri"/>
                <w:sz w:val="22"/>
                <w:szCs w:val="22"/>
              </w:rPr>
              <w:t xml:space="preserve">mimo jiné </w:t>
            </w:r>
            <w:r w:rsidR="005547AE" w:rsidRPr="005547AE">
              <w:rPr>
                <w:rFonts w:ascii="Calibri" w:hAnsi="Calibri"/>
                <w:sz w:val="22"/>
                <w:szCs w:val="22"/>
              </w:rPr>
              <w:t>procvičován</w:t>
            </w:r>
            <w:r w:rsidR="00B13B77">
              <w:rPr>
                <w:rFonts w:ascii="Calibri" w:hAnsi="Calibri"/>
                <w:sz w:val="22"/>
                <w:szCs w:val="22"/>
              </w:rPr>
              <w:t xml:space="preserve"> také</w:t>
            </w:r>
            <w:r w:rsidR="005547AE" w:rsidRPr="005547AE">
              <w:rPr>
                <w:rFonts w:ascii="Calibri" w:hAnsi="Calibri"/>
                <w:sz w:val="22"/>
                <w:szCs w:val="22"/>
              </w:rPr>
              <w:t xml:space="preserve"> výdej pohonných hmot pro vybrané složky </w:t>
            </w:r>
            <w:r w:rsidR="00B13B77">
              <w:rPr>
                <w:rFonts w:ascii="Calibri" w:hAnsi="Calibri"/>
                <w:sz w:val="22"/>
                <w:szCs w:val="22"/>
              </w:rPr>
              <w:t>integrovaného záchranného systému</w:t>
            </w:r>
            <w:r w:rsidR="005547AE" w:rsidRPr="005547AE">
              <w:rPr>
                <w:rFonts w:ascii="Calibri" w:hAnsi="Calibri"/>
                <w:sz w:val="22"/>
                <w:szCs w:val="22"/>
              </w:rPr>
              <w:t xml:space="preserve"> prostřednictvím Karet SSHR.</w:t>
            </w:r>
          </w:p>
          <w:p w14:paraId="6828E411" w14:textId="35416242" w:rsidR="005B2120" w:rsidRPr="00496481" w:rsidRDefault="005B2120" w:rsidP="00783002">
            <w:pPr>
              <w:pStyle w:val="Odstavecseseznamem"/>
              <w:numPr>
                <w:ilvl w:val="0"/>
                <w:numId w:val="4"/>
              </w:numPr>
              <w:overflowPunct w:val="0"/>
              <w:autoSpaceDE w:val="0"/>
              <w:autoSpaceDN w:val="0"/>
              <w:adjustRightInd w:val="0"/>
              <w:spacing w:before="120" w:after="120"/>
              <w:ind w:left="284" w:hanging="284"/>
              <w:jc w:val="both"/>
              <w:textAlignment w:val="baseline"/>
              <w:rPr>
                <w:rFonts w:ascii="Calibri" w:hAnsi="Calibri"/>
                <w:sz w:val="22"/>
                <w:szCs w:val="22"/>
              </w:rPr>
            </w:pPr>
            <w:r w:rsidRPr="00496481">
              <w:rPr>
                <w:rFonts w:ascii="Calibri" w:hAnsi="Calibri"/>
                <w:sz w:val="22"/>
                <w:szCs w:val="22"/>
              </w:rPr>
              <w:t xml:space="preserve">V roce 2015 došlo vůbec k největší ropné krizi v dějinách ČR, kdy výpadek rafinérií v Litvínově a v Kralupech nad Vltavou zcela připravil ČR o rafinérské kapacity, </w:t>
            </w:r>
            <w:r w:rsidR="00783002" w:rsidRPr="00783002">
              <w:rPr>
                <w:rFonts w:ascii="Calibri" w:hAnsi="Calibri"/>
                <w:sz w:val="22"/>
                <w:szCs w:val="22"/>
              </w:rPr>
              <w:t>zejména v oblasti zásobování automobilovým benzinem,</w:t>
            </w:r>
            <w:r w:rsidR="00783002">
              <w:rPr>
                <w:rFonts w:ascii="Calibri" w:hAnsi="Calibri"/>
                <w:sz w:val="22"/>
                <w:szCs w:val="22"/>
              </w:rPr>
              <w:t xml:space="preserve"> </w:t>
            </w:r>
            <w:r w:rsidRPr="00496481">
              <w:rPr>
                <w:rFonts w:ascii="Calibri" w:hAnsi="Calibri"/>
                <w:sz w:val="22"/>
                <w:szCs w:val="22"/>
              </w:rPr>
              <w:t>což se ale na chodu státu nijak neprojevilo a veškeré potřeby byly pokryty dovozem ropných produktů ze zahraničí</w:t>
            </w:r>
            <w:r w:rsidR="00783002">
              <w:rPr>
                <w:rFonts w:ascii="Calibri" w:hAnsi="Calibri"/>
                <w:sz w:val="22"/>
                <w:szCs w:val="22"/>
              </w:rPr>
              <w:t>.</w:t>
            </w:r>
            <w:r w:rsidR="00783002">
              <w:t xml:space="preserve"> </w:t>
            </w:r>
            <w:r w:rsidR="00783002" w:rsidRPr="00783002">
              <w:rPr>
                <w:rFonts w:ascii="Calibri" w:hAnsi="Calibri"/>
                <w:sz w:val="22"/>
                <w:szCs w:val="22"/>
              </w:rPr>
              <w:t xml:space="preserve">SSHR a její orgán </w:t>
            </w:r>
            <w:r w:rsidR="00783002">
              <w:rPr>
                <w:rFonts w:ascii="Calibri" w:hAnsi="Calibri"/>
                <w:sz w:val="22"/>
                <w:szCs w:val="22"/>
              </w:rPr>
              <w:t>„</w:t>
            </w:r>
            <w:r w:rsidR="00783002" w:rsidRPr="00783002">
              <w:rPr>
                <w:rFonts w:ascii="Calibri" w:hAnsi="Calibri"/>
                <w:sz w:val="22"/>
                <w:szCs w:val="22"/>
              </w:rPr>
              <w:t>Národní organizace pro společný postup ve stavu ropné nouze</w:t>
            </w:r>
            <w:r w:rsidR="00783002">
              <w:rPr>
                <w:rFonts w:ascii="Calibri" w:hAnsi="Calibri"/>
                <w:sz w:val="22"/>
                <w:szCs w:val="22"/>
              </w:rPr>
              <w:t>“</w:t>
            </w:r>
            <w:r w:rsidR="00783002" w:rsidRPr="00783002">
              <w:rPr>
                <w:rFonts w:ascii="Calibri" w:hAnsi="Calibri"/>
                <w:sz w:val="22"/>
                <w:szCs w:val="22"/>
              </w:rPr>
              <w:t xml:space="preserve"> nepřetržitě monitoroval</w:t>
            </w:r>
            <w:r w:rsidR="00783002">
              <w:rPr>
                <w:rFonts w:ascii="Calibri" w:hAnsi="Calibri"/>
                <w:sz w:val="22"/>
                <w:szCs w:val="22"/>
              </w:rPr>
              <w:t>y</w:t>
            </w:r>
            <w:r w:rsidR="00783002" w:rsidRPr="00783002">
              <w:rPr>
                <w:rFonts w:ascii="Calibri" w:hAnsi="Calibri"/>
                <w:sz w:val="22"/>
                <w:szCs w:val="22"/>
              </w:rPr>
              <w:t xml:space="preserve"> situaci v součinnosti s</w:t>
            </w:r>
            <w:r w:rsidR="00783002">
              <w:rPr>
                <w:rFonts w:ascii="Calibri" w:hAnsi="Calibri"/>
                <w:sz w:val="22"/>
                <w:szCs w:val="22"/>
              </w:rPr>
              <w:t> </w:t>
            </w:r>
            <w:r w:rsidR="00783002" w:rsidRPr="00783002">
              <w:rPr>
                <w:rFonts w:ascii="Calibri" w:hAnsi="Calibri"/>
                <w:sz w:val="22"/>
                <w:szCs w:val="22"/>
              </w:rPr>
              <w:t>komerčními subjekty</w:t>
            </w:r>
            <w:r w:rsidRPr="00496481">
              <w:rPr>
                <w:rFonts w:ascii="Calibri" w:hAnsi="Calibri"/>
                <w:sz w:val="22"/>
                <w:szCs w:val="22"/>
              </w:rPr>
              <w:t>.</w:t>
            </w:r>
          </w:p>
          <w:p w14:paraId="03C24FBF" w14:textId="094AD57B" w:rsidR="00710291" w:rsidRPr="00496481" w:rsidRDefault="005B2120" w:rsidP="002F1E7C">
            <w:pPr>
              <w:pStyle w:val="Odstavecseseznamem"/>
              <w:numPr>
                <w:ilvl w:val="0"/>
                <w:numId w:val="4"/>
              </w:numPr>
              <w:overflowPunct w:val="0"/>
              <w:autoSpaceDE w:val="0"/>
              <w:autoSpaceDN w:val="0"/>
              <w:adjustRightInd w:val="0"/>
              <w:spacing w:before="120" w:after="120"/>
              <w:ind w:left="284" w:hanging="284"/>
              <w:jc w:val="both"/>
              <w:textAlignment w:val="baseline"/>
              <w:rPr>
                <w:rFonts w:ascii="Calibri" w:hAnsi="Calibri"/>
                <w:sz w:val="22"/>
                <w:szCs w:val="22"/>
              </w:rPr>
            </w:pPr>
            <w:r w:rsidRPr="00496481">
              <w:rPr>
                <w:rFonts w:ascii="Calibri" w:hAnsi="Calibri"/>
                <w:sz w:val="22"/>
                <w:szCs w:val="22"/>
              </w:rPr>
              <w:t>MV dlouhodobě poskytuje součinnost při přípravě cvičení na ochranu v</w:t>
            </w:r>
            <w:r w:rsidR="002F1E7C">
              <w:rPr>
                <w:rFonts w:ascii="Calibri" w:hAnsi="Calibri"/>
                <w:sz w:val="22"/>
                <w:szCs w:val="22"/>
              </w:rPr>
              <w:t> </w:t>
            </w:r>
            <w:r w:rsidRPr="00496481">
              <w:rPr>
                <w:rFonts w:ascii="Calibri" w:hAnsi="Calibri"/>
                <w:sz w:val="22"/>
                <w:szCs w:val="22"/>
              </w:rPr>
              <w:t>energetických odvětvích.</w:t>
            </w:r>
          </w:p>
        </w:tc>
      </w:tr>
    </w:tbl>
    <w:p w14:paraId="76E9024E" w14:textId="77777777" w:rsidR="00710291" w:rsidRDefault="00710291">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710291" w:rsidRPr="006B443D" w14:paraId="715C2550" w14:textId="77777777" w:rsidTr="00710291">
        <w:tc>
          <w:tcPr>
            <w:tcW w:w="833" w:type="pct"/>
            <w:shd w:val="clear" w:color="auto" w:fill="DBE5F1" w:themeFill="accent1" w:themeFillTint="33"/>
            <w:vAlign w:val="center"/>
          </w:tcPr>
          <w:p w14:paraId="640A587B" w14:textId="77777777" w:rsidR="00710291" w:rsidRPr="006B443D" w:rsidRDefault="00710291" w:rsidP="00B2337B">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7BF1411E" w14:textId="77777777" w:rsidR="00710291" w:rsidRPr="006B443D" w:rsidRDefault="00D732E0" w:rsidP="00B2337B">
            <w:pPr>
              <w:keepNext/>
              <w:spacing w:before="120" w:after="120"/>
              <w:jc w:val="both"/>
              <w:rPr>
                <w:rFonts w:asciiTheme="minorHAnsi" w:hAnsiTheme="minorHAnsi"/>
                <w:b/>
                <w:sz w:val="22"/>
                <w:szCs w:val="22"/>
              </w:rPr>
            </w:pPr>
            <w:r w:rsidRPr="00D732E0">
              <w:rPr>
                <w:rFonts w:asciiTheme="minorHAnsi" w:hAnsiTheme="minorHAnsi"/>
                <w:b/>
                <w:sz w:val="22"/>
                <w:szCs w:val="22"/>
              </w:rPr>
              <w:t>Vypracování koncepce/strategie vnějších energetických vztahů/politiky</w:t>
            </w:r>
          </w:p>
        </w:tc>
      </w:tr>
      <w:tr w:rsidR="00710291" w:rsidRPr="006B443D" w14:paraId="569654C6" w14:textId="77777777" w:rsidTr="00710291">
        <w:tc>
          <w:tcPr>
            <w:tcW w:w="833" w:type="pct"/>
            <w:vAlign w:val="center"/>
          </w:tcPr>
          <w:p w14:paraId="7710735B"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4D266FA8" w14:textId="77777777" w:rsidR="00710291" w:rsidRPr="006B443D" w:rsidRDefault="00D732E0" w:rsidP="00D732E0">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D732E0">
              <w:rPr>
                <w:rFonts w:asciiTheme="minorHAnsi" w:hAnsiTheme="minorHAnsi"/>
                <w:sz w:val="22"/>
                <w:szCs w:val="22"/>
              </w:rPr>
              <w:t>V</w:t>
            </w:r>
            <w:r w:rsidRPr="00496481">
              <w:rPr>
                <w:rFonts w:ascii="Calibri" w:hAnsi="Calibri"/>
                <w:sz w:val="22"/>
                <w:szCs w:val="22"/>
              </w:rPr>
              <w:t>ypracování koncepce/strategie vnějších energetických vztahů/politiky.</w:t>
            </w:r>
          </w:p>
        </w:tc>
      </w:tr>
      <w:tr w:rsidR="00710291" w:rsidRPr="006B443D" w14:paraId="23DAE72B" w14:textId="77777777" w:rsidTr="00710291">
        <w:tc>
          <w:tcPr>
            <w:tcW w:w="833" w:type="pct"/>
            <w:vAlign w:val="center"/>
          </w:tcPr>
          <w:p w14:paraId="603F1A7A"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6FE79F65" w14:textId="77777777" w:rsidR="00710291" w:rsidRPr="006B443D" w:rsidRDefault="00D732E0" w:rsidP="00710291">
            <w:pPr>
              <w:spacing w:before="120" w:after="120"/>
              <w:jc w:val="both"/>
              <w:rPr>
                <w:rFonts w:asciiTheme="minorHAnsi" w:hAnsiTheme="minorHAnsi"/>
                <w:sz w:val="22"/>
                <w:szCs w:val="22"/>
              </w:rPr>
            </w:pPr>
            <w:r w:rsidRPr="00D732E0">
              <w:rPr>
                <w:rFonts w:asciiTheme="minorHAnsi" w:hAnsiTheme="minorHAnsi"/>
                <w:sz w:val="22"/>
                <w:szCs w:val="22"/>
              </w:rPr>
              <w:t>MPO, v součinnosti s MZV a ÚV ČR</w:t>
            </w:r>
          </w:p>
        </w:tc>
      </w:tr>
      <w:tr w:rsidR="00710291" w:rsidRPr="006B443D" w14:paraId="7CDEF484" w14:textId="77777777" w:rsidTr="00710291">
        <w:tc>
          <w:tcPr>
            <w:tcW w:w="833" w:type="pct"/>
            <w:vAlign w:val="center"/>
          </w:tcPr>
          <w:p w14:paraId="1FE331AB"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69F526D0" w14:textId="77777777" w:rsidR="00710291" w:rsidRPr="006B443D" w:rsidRDefault="00D732E0" w:rsidP="00710291">
            <w:pPr>
              <w:spacing w:before="120" w:after="120"/>
              <w:jc w:val="both"/>
              <w:rPr>
                <w:rFonts w:asciiTheme="minorHAnsi" w:hAnsiTheme="minorHAnsi"/>
                <w:sz w:val="22"/>
                <w:szCs w:val="22"/>
              </w:rPr>
            </w:pPr>
            <w:r w:rsidRPr="00D732E0">
              <w:rPr>
                <w:rFonts w:asciiTheme="minorHAnsi" w:hAnsiTheme="minorHAnsi"/>
                <w:sz w:val="22"/>
                <w:szCs w:val="22"/>
              </w:rPr>
              <w:t>31.</w:t>
            </w:r>
            <w:r>
              <w:rPr>
                <w:rFonts w:asciiTheme="minorHAnsi" w:hAnsiTheme="minorHAnsi"/>
                <w:sz w:val="22"/>
                <w:szCs w:val="22"/>
              </w:rPr>
              <w:t xml:space="preserve"> </w:t>
            </w:r>
            <w:r w:rsidRPr="00D732E0">
              <w:rPr>
                <w:rFonts w:asciiTheme="minorHAnsi" w:hAnsiTheme="minorHAnsi"/>
                <w:sz w:val="22"/>
                <w:szCs w:val="22"/>
              </w:rPr>
              <w:t>12.</w:t>
            </w:r>
            <w:r>
              <w:rPr>
                <w:rFonts w:asciiTheme="minorHAnsi" w:hAnsiTheme="minorHAnsi"/>
                <w:sz w:val="22"/>
                <w:szCs w:val="22"/>
              </w:rPr>
              <w:t xml:space="preserve"> </w:t>
            </w:r>
            <w:r w:rsidRPr="00D732E0">
              <w:rPr>
                <w:rFonts w:asciiTheme="minorHAnsi" w:hAnsiTheme="minorHAnsi"/>
                <w:sz w:val="22"/>
                <w:szCs w:val="22"/>
              </w:rPr>
              <w:t>2015</w:t>
            </w:r>
          </w:p>
        </w:tc>
      </w:tr>
      <w:tr w:rsidR="00710291" w:rsidRPr="006B443D" w14:paraId="73612FE2" w14:textId="77777777" w:rsidTr="00B2337B">
        <w:trPr>
          <w:cantSplit/>
        </w:trPr>
        <w:tc>
          <w:tcPr>
            <w:tcW w:w="833" w:type="pct"/>
            <w:vAlign w:val="center"/>
          </w:tcPr>
          <w:p w14:paraId="10576EEE"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lastRenderedPageBreak/>
              <w:t>Popis plnění</w:t>
            </w:r>
          </w:p>
        </w:tc>
        <w:tc>
          <w:tcPr>
            <w:tcW w:w="4167" w:type="pct"/>
            <w:vAlign w:val="center"/>
          </w:tcPr>
          <w:p w14:paraId="0547676C" w14:textId="57CD43DF" w:rsidR="00D732E0" w:rsidRPr="00CB16FC" w:rsidRDefault="00D732E0" w:rsidP="00D732E0">
            <w:pPr>
              <w:overflowPunct w:val="0"/>
              <w:autoSpaceDE w:val="0"/>
              <w:autoSpaceDN w:val="0"/>
              <w:adjustRightInd w:val="0"/>
              <w:spacing w:before="120" w:after="120"/>
              <w:jc w:val="both"/>
              <w:textAlignment w:val="baseline"/>
              <w:rPr>
                <w:rFonts w:asciiTheme="minorHAnsi" w:hAnsiTheme="minorHAnsi"/>
                <w:b/>
                <w:sz w:val="22"/>
                <w:szCs w:val="22"/>
              </w:rPr>
            </w:pPr>
            <w:r w:rsidRPr="00CB16FC">
              <w:rPr>
                <w:rFonts w:asciiTheme="minorHAnsi" w:hAnsiTheme="minorHAnsi"/>
                <w:b/>
                <w:sz w:val="22"/>
                <w:szCs w:val="22"/>
              </w:rPr>
              <w:t>P</w:t>
            </w:r>
            <w:r w:rsidR="00E04A6D" w:rsidRPr="00CB16FC">
              <w:rPr>
                <w:rFonts w:asciiTheme="minorHAnsi" w:hAnsiTheme="minorHAnsi"/>
                <w:b/>
                <w:sz w:val="22"/>
                <w:szCs w:val="22"/>
              </w:rPr>
              <w:t>lnění probíhá</w:t>
            </w:r>
          </w:p>
          <w:p w14:paraId="1F574E3D" w14:textId="3EE2D061" w:rsidR="00710291" w:rsidRPr="00CB16FC" w:rsidRDefault="00DC142E" w:rsidP="00DC142E">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DC142E">
              <w:rPr>
                <w:rFonts w:asciiTheme="minorHAnsi" w:hAnsiTheme="minorHAnsi"/>
                <w:sz w:val="22"/>
                <w:szCs w:val="22"/>
              </w:rPr>
              <w:t>Návrh koncepce je a</w:t>
            </w:r>
            <w:r>
              <w:rPr>
                <w:rFonts w:asciiTheme="minorHAnsi" w:hAnsiTheme="minorHAnsi"/>
                <w:sz w:val="22"/>
                <w:szCs w:val="22"/>
              </w:rPr>
              <w:t>ktuálně připravován MPO</w:t>
            </w:r>
            <w:r w:rsidRPr="00DC142E">
              <w:rPr>
                <w:rFonts w:asciiTheme="minorHAnsi" w:hAnsiTheme="minorHAnsi"/>
                <w:sz w:val="22"/>
                <w:szCs w:val="22"/>
              </w:rPr>
              <w:t>, a to mimo jiné v</w:t>
            </w:r>
            <w:r>
              <w:rPr>
                <w:rFonts w:asciiTheme="minorHAnsi" w:hAnsiTheme="minorHAnsi"/>
                <w:sz w:val="22"/>
                <w:szCs w:val="22"/>
              </w:rPr>
              <w:t xml:space="preserve"> </w:t>
            </w:r>
            <w:r w:rsidRPr="00DC142E">
              <w:rPr>
                <w:rFonts w:asciiTheme="minorHAnsi" w:hAnsiTheme="minorHAnsi"/>
                <w:sz w:val="22"/>
                <w:szCs w:val="22"/>
              </w:rPr>
              <w:t xml:space="preserve">návaznosti na zohlednění strategických priorit nové vlády a dále i v návaznosti na výsledky projednávání legislativního balíčku EU „Čistá energie pro všechny Evropany“. Návrh bude nejpozději v průběhu prvního čtvrtletí 2019 rozeslán </w:t>
            </w:r>
            <w:proofErr w:type="spellStart"/>
            <w:r w:rsidRPr="00DC142E">
              <w:rPr>
                <w:rFonts w:asciiTheme="minorHAnsi" w:hAnsiTheme="minorHAnsi"/>
                <w:sz w:val="22"/>
                <w:szCs w:val="22"/>
              </w:rPr>
              <w:t>spolugestorům</w:t>
            </w:r>
            <w:proofErr w:type="spellEnd"/>
            <w:r w:rsidRPr="00DC142E">
              <w:rPr>
                <w:rFonts w:asciiTheme="minorHAnsi" w:hAnsiTheme="minorHAnsi"/>
                <w:sz w:val="22"/>
                <w:szCs w:val="22"/>
              </w:rPr>
              <w:t xml:space="preserve"> a ostatním příslušným resor</w:t>
            </w:r>
            <w:r>
              <w:rPr>
                <w:rFonts w:asciiTheme="minorHAnsi" w:hAnsiTheme="minorHAnsi"/>
                <w:sz w:val="22"/>
                <w:szCs w:val="22"/>
              </w:rPr>
              <w:t>tům k připomínkám a projednání.</w:t>
            </w:r>
          </w:p>
        </w:tc>
      </w:tr>
    </w:tbl>
    <w:p w14:paraId="7276D401" w14:textId="77777777" w:rsidR="00710291" w:rsidRDefault="00710291">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710291" w:rsidRPr="006B443D" w14:paraId="00C342B7" w14:textId="77777777" w:rsidTr="00710291">
        <w:tc>
          <w:tcPr>
            <w:tcW w:w="833" w:type="pct"/>
            <w:shd w:val="clear" w:color="auto" w:fill="DBE5F1" w:themeFill="accent1" w:themeFillTint="33"/>
            <w:vAlign w:val="center"/>
          </w:tcPr>
          <w:p w14:paraId="53B02193" w14:textId="77777777" w:rsidR="00710291" w:rsidRPr="006B443D" w:rsidRDefault="00710291" w:rsidP="00B2337B">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2704DDF2" w14:textId="77777777" w:rsidR="00710291" w:rsidRPr="006B443D" w:rsidRDefault="00D732E0" w:rsidP="00B2337B">
            <w:pPr>
              <w:keepNext/>
              <w:spacing w:before="120" w:after="120"/>
              <w:jc w:val="both"/>
              <w:rPr>
                <w:rFonts w:asciiTheme="minorHAnsi" w:hAnsiTheme="minorHAnsi"/>
                <w:b/>
                <w:sz w:val="22"/>
                <w:szCs w:val="22"/>
              </w:rPr>
            </w:pPr>
            <w:r w:rsidRPr="00D732E0">
              <w:rPr>
                <w:rFonts w:asciiTheme="minorHAnsi" w:hAnsiTheme="minorHAnsi"/>
                <w:b/>
                <w:sz w:val="22"/>
                <w:szCs w:val="22"/>
              </w:rPr>
              <w:t>Zpracovat vyhledávací studii hodnotící potenciál pro využívání geotermální energie na území České republiky</w:t>
            </w:r>
          </w:p>
        </w:tc>
      </w:tr>
      <w:tr w:rsidR="00710291" w:rsidRPr="006B443D" w14:paraId="0CF55F4E" w14:textId="77777777" w:rsidTr="00710291">
        <w:tc>
          <w:tcPr>
            <w:tcW w:w="833" w:type="pct"/>
            <w:vAlign w:val="center"/>
          </w:tcPr>
          <w:p w14:paraId="5DE329FD"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6ECEC200" w14:textId="77777777" w:rsidR="00710291" w:rsidRPr="006B443D" w:rsidRDefault="00D732E0" w:rsidP="00D732E0">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D732E0">
              <w:rPr>
                <w:rFonts w:asciiTheme="minorHAnsi" w:hAnsiTheme="minorHAnsi"/>
                <w:sz w:val="22"/>
                <w:szCs w:val="22"/>
              </w:rPr>
              <w:t>Zpracovat vyhledávací studii hodnotící potenciál pro využívání geotermální energie na území České republiky</w:t>
            </w:r>
            <w:r>
              <w:rPr>
                <w:rFonts w:asciiTheme="minorHAnsi" w:hAnsiTheme="minorHAnsi"/>
                <w:sz w:val="22"/>
                <w:szCs w:val="22"/>
              </w:rPr>
              <w:t>.</w:t>
            </w:r>
          </w:p>
        </w:tc>
      </w:tr>
      <w:tr w:rsidR="00710291" w:rsidRPr="006B443D" w14:paraId="6748C5D2" w14:textId="77777777" w:rsidTr="00710291">
        <w:tc>
          <w:tcPr>
            <w:tcW w:w="833" w:type="pct"/>
            <w:vAlign w:val="center"/>
          </w:tcPr>
          <w:p w14:paraId="3C55FCFE"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49D764F4" w14:textId="77777777" w:rsidR="00710291" w:rsidRPr="006B443D" w:rsidRDefault="00D732E0" w:rsidP="00710291">
            <w:pPr>
              <w:spacing w:before="120" w:after="120"/>
              <w:jc w:val="both"/>
              <w:rPr>
                <w:rFonts w:asciiTheme="minorHAnsi" w:hAnsiTheme="minorHAnsi"/>
                <w:sz w:val="22"/>
                <w:szCs w:val="22"/>
              </w:rPr>
            </w:pPr>
            <w:r>
              <w:rPr>
                <w:rFonts w:asciiTheme="minorHAnsi" w:hAnsiTheme="minorHAnsi"/>
                <w:sz w:val="22"/>
                <w:szCs w:val="22"/>
              </w:rPr>
              <w:t>MPO</w:t>
            </w:r>
          </w:p>
        </w:tc>
      </w:tr>
      <w:tr w:rsidR="00710291" w:rsidRPr="006B443D" w14:paraId="3600BFF3" w14:textId="77777777" w:rsidTr="00710291">
        <w:tc>
          <w:tcPr>
            <w:tcW w:w="833" w:type="pct"/>
            <w:vAlign w:val="center"/>
          </w:tcPr>
          <w:p w14:paraId="6DD9F9AE"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5E4C73BB" w14:textId="77777777" w:rsidR="00710291" w:rsidRPr="006B443D" w:rsidRDefault="00D732E0" w:rsidP="00710291">
            <w:pPr>
              <w:spacing w:before="120" w:after="120"/>
              <w:jc w:val="both"/>
              <w:rPr>
                <w:rFonts w:asciiTheme="minorHAnsi" w:hAnsiTheme="minorHAnsi"/>
                <w:sz w:val="22"/>
                <w:szCs w:val="22"/>
              </w:rPr>
            </w:pPr>
            <w:r>
              <w:rPr>
                <w:rFonts w:asciiTheme="minorHAnsi" w:hAnsiTheme="minorHAnsi"/>
                <w:sz w:val="22"/>
                <w:szCs w:val="22"/>
              </w:rPr>
              <w:t>31. 12. 2017</w:t>
            </w:r>
          </w:p>
        </w:tc>
      </w:tr>
      <w:tr w:rsidR="00710291" w:rsidRPr="006B443D" w14:paraId="78D0CC53" w14:textId="77777777" w:rsidTr="00710291">
        <w:tc>
          <w:tcPr>
            <w:tcW w:w="833" w:type="pct"/>
            <w:vAlign w:val="center"/>
          </w:tcPr>
          <w:p w14:paraId="55D0A026" w14:textId="77777777" w:rsidR="00710291" w:rsidRPr="006B443D" w:rsidRDefault="00710291" w:rsidP="00710291">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0A21A166" w14:textId="7DA1683E" w:rsidR="00710291" w:rsidRDefault="00FD40CC" w:rsidP="00D650B6">
            <w:pPr>
              <w:overflowPunct w:val="0"/>
              <w:autoSpaceDE w:val="0"/>
              <w:autoSpaceDN w:val="0"/>
              <w:adjustRightInd w:val="0"/>
              <w:spacing w:before="120" w:after="120"/>
              <w:jc w:val="both"/>
              <w:textAlignment w:val="baseline"/>
              <w:rPr>
                <w:rFonts w:asciiTheme="minorHAnsi" w:hAnsiTheme="minorHAnsi"/>
                <w:b/>
                <w:sz w:val="22"/>
                <w:szCs w:val="22"/>
              </w:rPr>
            </w:pPr>
            <w:r>
              <w:rPr>
                <w:rFonts w:asciiTheme="minorHAnsi" w:hAnsiTheme="minorHAnsi"/>
                <w:b/>
                <w:sz w:val="22"/>
                <w:szCs w:val="22"/>
              </w:rPr>
              <w:t>Splněno</w:t>
            </w:r>
          </w:p>
          <w:p w14:paraId="30BDB57A" w14:textId="27FF4D0A" w:rsidR="000968A7" w:rsidRDefault="000968A7" w:rsidP="00A5198C">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 xml:space="preserve">MPO nechalo zpracovat studii potenciálu obnovitelných zdrojů energie, jejíž součástí je i </w:t>
            </w:r>
            <w:r w:rsidRPr="00A5198C">
              <w:rPr>
                <w:rFonts w:asciiTheme="minorHAnsi" w:hAnsiTheme="minorHAnsi"/>
                <w:sz w:val="22"/>
                <w:szCs w:val="22"/>
              </w:rPr>
              <w:t>zmapování potenciálu v oblasti geotermální energie</w:t>
            </w:r>
            <w:r>
              <w:rPr>
                <w:rFonts w:asciiTheme="minorHAnsi" w:hAnsiTheme="minorHAnsi"/>
                <w:sz w:val="22"/>
                <w:szCs w:val="22"/>
              </w:rPr>
              <w:t xml:space="preserve"> a jejíž výsledky budou zohledněny také při tvorbě </w:t>
            </w:r>
            <w:r w:rsidR="006B0EF1">
              <w:rPr>
                <w:rFonts w:asciiTheme="minorHAnsi" w:hAnsiTheme="minorHAnsi"/>
                <w:sz w:val="22"/>
                <w:szCs w:val="22"/>
              </w:rPr>
              <w:t xml:space="preserve">tzv. </w:t>
            </w:r>
            <w:r>
              <w:rPr>
                <w:rFonts w:asciiTheme="minorHAnsi" w:hAnsiTheme="minorHAnsi"/>
                <w:sz w:val="22"/>
                <w:szCs w:val="22"/>
              </w:rPr>
              <w:t xml:space="preserve">Národního </w:t>
            </w:r>
            <w:r w:rsidR="006B0EF1">
              <w:rPr>
                <w:rFonts w:asciiTheme="minorHAnsi" w:hAnsiTheme="minorHAnsi"/>
                <w:sz w:val="22"/>
                <w:szCs w:val="22"/>
              </w:rPr>
              <w:t xml:space="preserve">integrovaného </w:t>
            </w:r>
            <w:r>
              <w:rPr>
                <w:rFonts w:asciiTheme="minorHAnsi" w:hAnsiTheme="minorHAnsi"/>
                <w:sz w:val="22"/>
                <w:szCs w:val="22"/>
              </w:rPr>
              <w:t xml:space="preserve">energeticko-klimatického plánu, </w:t>
            </w:r>
            <w:r w:rsidR="006B0EF1">
              <w:rPr>
                <w:rFonts w:asciiTheme="minorHAnsi" w:hAnsiTheme="minorHAnsi"/>
                <w:sz w:val="22"/>
                <w:szCs w:val="22"/>
              </w:rPr>
              <w:t>jehož návrh je aktuálně připravován a</w:t>
            </w:r>
            <w:r>
              <w:rPr>
                <w:rFonts w:asciiTheme="minorHAnsi" w:hAnsiTheme="minorHAnsi"/>
                <w:sz w:val="22"/>
                <w:szCs w:val="22"/>
              </w:rPr>
              <w:t xml:space="preserve"> měl</w:t>
            </w:r>
            <w:r w:rsidR="006B0EF1">
              <w:rPr>
                <w:rFonts w:asciiTheme="minorHAnsi" w:hAnsiTheme="minorHAnsi"/>
                <w:sz w:val="22"/>
                <w:szCs w:val="22"/>
              </w:rPr>
              <w:t xml:space="preserve"> by</w:t>
            </w:r>
            <w:r>
              <w:rPr>
                <w:rFonts w:asciiTheme="minorHAnsi" w:hAnsiTheme="minorHAnsi"/>
                <w:sz w:val="22"/>
                <w:szCs w:val="22"/>
              </w:rPr>
              <w:t xml:space="preserve"> být předložen Evropské komisi do konce roku 2018.</w:t>
            </w:r>
          </w:p>
          <w:p w14:paraId="77D67198" w14:textId="0643CD61" w:rsidR="00A5198C" w:rsidRPr="00A5198C" w:rsidRDefault="0074765D" w:rsidP="0074765D">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Cs w:val="22"/>
              </w:rPr>
              <w:t>V návaznosti na</w:t>
            </w:r>
            <w:r w:rsidR="000968A7" w:rsidRPr="00CE53C1">
              <w:rPr>
                <w:rFonts w:asciiTheme="minorHAnsi" w:hAnsiTheme="minorHAnsi"/>
                <w:szCs w:val="22"/>
              </w:rPr>
              <w:t xml:space="preserve"> usnesení vlády</w:t>
            </w:r>
            <w:r w:rsidR="000968A7">
              <w:rPr>
                <w:rFonts w:asciiTheme="minorHAnsi" w:hAnsiTheme="minorHAnsi"/>
                <w:szCs w:val="22"/>
              </w:rPr>
              <w:t xml:space="preserve"> ČR</w:t>
            </w:r>
            <w:r w:rsidR="000968A7" w:rsidRPr="00CE53C1">
              <w:rPr>
                <w:rFonts w:asciiTheme="minorHAnsi" w:hAnsiTheme="minorHAnsi"/>
                <w:szCs w:val="22"/>
              </w:rPr>
              <w:t xml:space="preserve"> č. 503 ze dne 10. července 2017 </w:t>
            </w:r>
            <w:r w:rsidR="000968A7">
              <w:rPr>
                <w:rFonts w:asciiTheme="minorHAnsi" w:hAnsiTheme="minorHAnsi"/>
                <w:szCs w:val="22"/>
              </w:rPr>
              <w:t>o</w:t>
            </w:r>
            <w:r>
              <w:rPr>
                <w:rFonts w:asciiTheme="minorHAnsi" w:hAnsiTheme="minorHAnsi"/>
                <w:szCs w:val="22"/>
              </w:rPr>
              <w:t> </w:t>
            </w:r>
            <w:r w:rsidR="000968A7" w:rsidRPr="00CE53C1">
              <w:rPr>
                <w:rFonts w:asciiTheme="minorHAnsi" w:hAnsiTheme="minorHAnsi"/>
              </w:rPr>
              <w:t>Souhrnném akčním plánu Strategie restrukturalizace Ústeckého kraje, Moravskoslezského kraje a Karlovarského kraje na léta 2017 a 2018</w:t>
            </w:r>
            <w:r w:rsidR="000968A7">
              <w:rPr>
                <w:rFonts w:asciiTheme="minorHAnsi" w:hAnsiTheme="minorHAnsi"/>
              </w:rPr>
              <w:t xml:space="preserve"> se plánuje provedení dalších detailních studií k možnosti využití geotermální energie v uvedených krajích.</w:t>
            </w:r>
          </w:p>
        </w:tc>
      </w:tr>
    </w:tbl>
    <w:p w14:paraId="7D3B92F2" w14:textId="77777777" w:rsidR="00710291" w:rsidRDefault="00710291">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D732E0" w:rsidRPr="006B443D" w14:paraId="5183ED0E" w14:textId="77777777" w:rsidTr="002E4D72">
        <w:tc>
          <w:tcPr>
            <w:tcW w:w="833" w:type="pct"/>
            <w:shd w:val="clear" w:color="auto" w:fill="DBE5F1" w:themeFill="accent1" w:themeFillTint="33"/>
            <w:vAlign w:val="center"/>
          </w:tcPr>
          <w:p w14:paraId="7181456C" w14:textId="77777777" w:rsidR="00D732E0" w:rsidRPr="006B443D" w:rsidRDefault="00D732E0" w:rsidP="00B2337B">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075135A7" w14:textId="77777777" w:rsidR="00D732E0" w:rsidRPr="006B443D" w:rsidRDefault="00D732E0" w:rsidP="00B2337B">
            <w:pPr>
              <w:keepNext/>
              <w:spacing w:before="120" w:after="120"/>
              <w:jc w:val="both"/>
              <w:rPr>
                <w:rFonts w:asciiTheme="minorHAnsi" w:hAnsiTheme="minorHAnsi"/>
                <w:b/>
                <w:sz w:val="22"/>
                <w:szCs w:val="22"/>
              </w:rPr>
            </w:pPr>
            <w:r w:rsidRPr="00D732E0">
              <w:rPr>
                <w:rFonts w:asciiTheme="minorHAnsi" w:hAnsiTheme="minorHAnsi"/>
                <w:b/>
                <w:sz w:val="22"/>
                <w:szCs w:val="22"/>
              </w:rPr>
              <w:t>Připravit koordinovanou strategii na podporu výzkumu a vývoje v oblasti výroby pokročilých biopaliv z nepotravinářské biomasy a odpadů</w:t>
            </w:r>
          </w:p>
        </w:tc>
      </w:tr>
      <w:tr w:rsidR="00D732E0" w:rsidRPr="006B443D" w14:paraId="596A2534" w14:textId="77777777" w:rsidTr="002E4D72">
        <w:tc>
          <w:tcPr>
            <w:tcW w:w="833" w:type="pct"/>
            <w:vAlign w:val="center"/>
          </w:tcPr>
          <w:p w14:paraId="4D2A246D" w14:textId="77777777" w:rsidR="00D732E0" w:rsidRPr="006B443D" w:rsidRDefault="00D732E0" w:rsidP="002E4D72">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64C44A7A" w14:textId="77777777" w:rsidR="00D732E0" w:rsidRPr="006B443D" w:rsidRDefault="00D732E0" w:rsidP="00D732E0">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D732E0">
              <w:rPr>
                <w:rFonts w:asciiTheme="minorHAnsi" w:hAnsiTheme="minorHAnsi"/>
                <w:sz w:val="22"/>
                <w:szCs w:val="22"/>
              </w:rPr>
              <w:t>Připravit koordinovanou strategii na podporu výzkumu a vývoje v oblasti výroby pokročilých biopaliv z nepotravinářské biomasy a odpadů.</w:t>
            </w:r>
          </w:p>
        </w:tc>
      </w:tr>
      <w:tr w:rsidR="00D732E0" w:rsidRPr="006B443D" w14:paraId="70C081D1" w14:textId="77777777" w:rsidTr="002E4D72">
        <w:tc>
          <w:tcPr>
            <w:tcW w:w="833" w:type="pct"/>
            <w:vAlign w:val="center"/>
          </w:tcPr>
          <w:p w14:paraId="58221188" w14:textId="77777777" w:rsidR="00D732E0" w:rsidRPr="006B443D" w:rsidRDefault="00D732E0" w:rsidP="002E4D72">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2E077FD9" w14:textId="77777777" w:rsidR="00D732E0" w:rsidRPr="006B443D" w:rsidRDefault="00D732E0" w:rsidP="002E4D72">
            <w:pPr>
              <w:spacing w:before="120" w:after="120"/>
              <w:jc w:val="both"/>
              <w:rPr>
                <w:rFonts w:asciiTheme="minorHAnsi" w:hAnsiTheme="minorHAnsi"/>
                <w:sz w:val="22"/>
                <w:szCs w:val="22"/>
              </w:rPr>
            </w:pPr>
            <w:r w:rsidRPr="00D732E0">
              <w:rPr>
                <w:rFonts w:asciiTheme="minorHAnsi" w:hAnsiTheme="minorHAnsi"/>
                <w:sz w:val="22"/>
                <w:szCs w:val="22"/>
              </w:rPr>
              <w:t>MPO, MŠMT, v součinnosti s MŽP a dalšími zainteresovanými subjekty</w:t>
            </w:r>
          </w:p>
        </w:tc>
      </w:tr>
      <w:tr w:rsidR="00D732E0" w:rsidRPr="006B443D" w14:paraId="669AC45D" w14:textId="77777777" w:rsidTr="002E4D72">
        <w:tc>
          <w:tcPr>
            <w:tcW w:w="833" w:type="pct"/>
            <w:vAlign w:val="center"/>
          </w:tcPr>
          <w:p w14:paraId="244134E6" w14:textId="77777777" w:rsidR="00D732E0" w:rsidRPr="006B443D" w:rsidRDefault="00D732E0" w:rsidP="002E4D72">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74972CB3" w14:textId="4D0527CB" w:rsidR="00D732E0" w:rsidRPr="006B443D" w:rsidRDefault="0043395F" w:rsidP="002E4D72">
            <w:pPr>
              <w:spacing w:before="120" w:after="120"/>
              <w:jc w:val="both"/>
              <w:rPr>
                <w:rFonts w:asciiTheme="minorHAnsi" w:hAnsiTheme="minorHAnsi"/>
                <w:sz w:val="22"/>
                <w:szCs w:val="22"/>
              </w:rPr>
            </w:pPr>
            <w:r>
              <w:rPr>
                <w:rFonts w:asciiTheme="minorHAnsi" w:hAnsiTheme="minorHAnsi"/>
                <w:sz w:val="22"/>
                <w:szCs w:val="22"/>
              </w:rPr>
              <w:t>P</w:t>
            </w:r>
            <w:r w:rsidR="00D732E0">
              <w:rPr>
                <w:rFonts w:asciiTheme="minorHAnsi" w:hAnsiTheme="minorHAnsi"/>
                <w:sz w:val="22"/>
                <w:szCs w:val="22"/>
              </w:rPr>
              <w:t>růběžně</w:t>
            </w:r>
          </w:p>
        </w:tc>
      </w:tr>
      <w:tr w:rsidR="00D732E0" w:rsidRPr="006B443D" w14:paraId="0076DED9" w14:textId="77777777" w:rsidTr="002E4D72">
        <w:tc>
          <w:tcPr>
            <w:tcW w:w="833" w:type="pct"/>
            <w:vAlign w:val="center"/>
          </w:tcPr>
          <w:p w14:paraId="5A6C0F02" w14:textId="77777777" w:rsidR="00D732E0" w:rsidRPr="006B443D" w:rsidRDefault="00D732E0" w:rsidP="002E4D72">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7E8896CA" w14:textId="50130201" w:rsidR="00D732E0" w:rsidRPr="00D732E0" w:rsidRDefault="000F5F31" w:rsidP="00D732E0">
            <w:pPr>
              <w:overflowPunct w:val="0"/>
              <w:autoSpaceDE w:val="0"/>
              <w:autoSpaceDN w:val="0"/>
              <w:adjustRightInd w:val="0"/>
              <w:spacing w:before="120" w:after="120"/>
              <w:jc w:val="both"/>
              <w:textAlignment w:val="baseline"/>
              <w:rPr>
                <w:rFonts w:asciiTheme="minorHAnsi" w:hAnsiTheme="minorHAnsi"/>
                <w:b/>
                <w:sz w:val="22"/>
                <w:szCs w:val="22"/>
              </w:rPr>
            </w:pPr>
            <w:r>
              <w:rPr>
                <w:rFonts w:asciiTheme="minorHAnsi" w:hAnsiTheme="minorHAnsi"/>
                <w:b/>
                <w:sz w:val="22"/>
                <w:szCs w:val="22"/>
              </w:rPr>
              <w:t>Plněno průběžně</w:t>
            </w:r>
          </w:p>
          <w:p w14:paraId="7DBAAAAF" w14:textId="083B3C86" w:rsidR="000F5F31" w:rsidRDefault="00CB67E1" w:rsidP="00CB67E1">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CB67E1">
              <w:rPr>
                <w:rFonts w:asciiTheme="minorHAnsi" w:hAnsiTheme="minorHAnsi"/>
                <w:sz w:val="22"/>
                <w:szCs w:val="22"/>
              </w:rPr>
              <w:t>Vzhledem k nejasnostem ohledně vývoje dotčené legislativy EU</w:t>
            </w:r>
            <w:r>
              <w:rPr>
                <w:rFonts w:asciiTheme="minorHAnsi" w:hAnsiTheme="minorHAnsi"/>
                <w:sz w:val="22"/>
                <w:szCs w:val="22"/>
              </w:rPr>
              <w:t>,</w:t>
            </w:r>
            <w:r w:rsidRPr="00CB67E1">
              <w:rPr>
                <w:rFonts w:asciiTheme="minorHAnsi" w:hAnsiTheme="minorHAnsi"/>
                <w:sz w:val="22"/>
                <w:szCs w:val="22"/>
              </w:rPr>
              <w:t xml:space="preserve"> </w:t>
            </w:r>
            <w:r w:rsidR="000F5F31">
              <w:rPr>
                <w:rFonts w:asciiTheme="minorHAnsi" w:hAnsiTheme="minorHAnsi"/>
                <w:sz w:val="22"/>
                <w:szCs w:val="22"/>
              </w:rPr>
              <w:t>koordinovaná strategie na podporu výzkumu a vývoje v oblasti výroby pokročilých biopaliv z nepotravinářské biomasy a odpadů</w:t>
            </w:r>
            <w:r>
              <w:rPr>
                <w:rFonts w:asciiTheme="minorHAnsi" w:hAnsiTheme="minorHAnsi"/>
                <w:sz w:val="22"/>
                <w:szCs w:val="22"/>
              </w:rPr>
              <w:t xml:space="preserve"> nebyla </w:t>
            </w:r>
            <w:r w:rsidR="002E696C">
              <w:rPr>
                <w:rFonts w:asciiTheme="minorHAnsi" w:hAnsiTheme="minorHAnsi"/>
                <w:sz w:val="22"/>
                <w:szCs w:val="22"/>
              </w:rPr>
              <w:t xml:space="preserve">doposud </w:t>
            </w:r>
            <w:r>
              <w:rPr>
                <w:rFonts w:asciiTheme="minorHAnsi" w:hAnsiTheme="minorHAnsi"/>
                <w:sz w:val="22"/>
                <w:szCs w:val="22"/>
              </w:rPr>
              <w:t>připravena</w:t>
            </w:r>
            <w:r w:rsidR="000F5F31">
              <w:rPr>
                <w:rFonts w:asciiTheme="minorHAnsi" w:hAnsiTheme="minorHAnsi"/>
                <w:sz w:val="22"/>
                <w:szCs w:val="22"/>
              </w:rPr>
              <w:t>.</w:t>
            </w:r>
          </w:p>
          <w:p w14:paraId="21942027" w14:textId="638D8385" w:rsidR="00D732E0" w:rsidRDefault="00D732E0" w:rsidP="000F5F31">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D732E0">
              <w:rPr>
                <w:rFonts w:asciiTheme="minorHAnsi" w:hAnsiTheme="minorHAnsi"/>
                <w:sz w:val="22"/>
                <w:szCs w:val="22"/>
              </w:rPr>
              <w:t>Byla zpracována Analýza zajištění splnitelnosti 10% cíle obnovitelných zdrojů energie v dopravě v roce 2020, z níž vyplynula nutnost podpořit výzkum v</w:t>
            </w:r>
            <w:r w:rsidR="002F1E7C">
              <w:rPr>
                <w:rFonts w:asciiTheme="minorHAnsi" w:hAnsiTheme="minorHAnsi"/>
                <w:sz w:val="22"/>
                <w:szCs w:val="22"/>
              </w:rPr>
              <w:t> </w:t>
            </w:r>
            <w:r w:rsidR="00CF4351">
              <w:rPr>
                <w:rFonts w:asciiTheme="minorHAnsi" w:hAnsiTheme="minorHAnsi"/>
                <w:sz w:val="22"/>
                <w:szCs w:val="22"/>
              </w:rPr>
              <w:t xml:space="preserve">oblasti </w:t>
            </w:r>
            <w:r w:rsidR="002E696C">
              <w:rPr>
                <w:rFonts w:asciiTheme="minorHAnsi" w:hAnsiTheme="minorHAnsi"/>
                <w:sz w:val="22"/>
                <w:szCs w:val="22"/>
              </w:rPr>
              <w:t xml:space="preserve">pokročilých </w:t>
            </w:r>
            <w:r w:rsidR="00CF4351">
              <w:rPr>
                <w:rFonts w:asciiTheme="minorHAnsi" w:hAnsiTheme="minorHAnsi"/>
                <w:sz w:val="22"/>
                <w:szCs w:val="22"/>
              </w:rPr>
              <w:t>biopaliv.</w:t>
            </w:r>
          </w:p>
          <w:p w14:paraId="590DC622" w14:textId="19ADB7C3" w:rsidR="000F5F31" w:rsidRPr="00D732E0" w:rsidRDefault="002E696C" w:rsidP="00E2556D">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 xml:space="preserve">V červenci 2018 byl schválen </w:t>
            </w:r>
            <w:r w:rsidR="000F5F31">
              <w:rPr>
                <w:rFonts w:asciiTheme="minorHAnsi" w:hAnsiTheme="minorHAnsi"/>
                <w:sz w:val="22"/>
                <w:szCs w:val="22"/>
              </w:rPr>
              <w:t>projekt v rámci programu</w:t>
            </w:r>
            <w:r w:rsidR="00CF4351">
              <w:t xml:space="preserve"> </w:t>
            </w:r>
            <w:r w:rsidR="00CF4351" w:rsidRPr="00CF4351">
              <w:rPr>
                <w:rFonts w:asciiTheme="minorHAnsi" w:hAnsiTheme="minorHAnsi"/>
                <w:sz w:val="22"/>
                <w:szCs w:val="22"/>
              </w:rPr>
              <w:t>veřejných zakázek v</w:t>
            </w:r>
            <w:r w:rsidR="00E2556D">
              <w:rPr>
                <w:rFonts w:asciiTheme="minorHAnsi" w:hAnsiTheme="minorHAnsi"/>
                <w:sz w:val="22"/>
                <w:szCs w:val="22"/>
              </w:rPr>
              <w:t> </w:t>
            </w:r>
            <w:r w:rsidR="00CF4351" w:rsidRPr="00CF4351">
              <w:rPr>
                <w:rFonts w:asciiTheme="minorHAnsi" w:hAnsiTheme="minorHAnsi"/>
                <w:sz w:val="22"/>
                <w:szCs w:val="22"/>
              </w:rPr>
              <w:t>aplikovaném výzkumu a inovacích pro potřeby státní správy</w:t>
            </w:r>
            <w:r w:rsidR="000F5F31">
              <w:rPr>
                <w:rFonts w:asciiTheme="minorHAnsi" w:hAnsiTheme="minorHAnsi"/>
                <w:sz w:val="22"/>
                <w:szCs w:val="22"/>
              </w:rPr>
              <w:t xml:space="preserve"> BETA</w:t>
            </w:r>
            <w:r w:rsidR="00B129ED">
              <w:rPr>
                <w:rFonts w:asciiTheme="minorHAnsi" w:hAnsiTheme="minorHAnsi"/>
                <w:sz w:val="22"/>
                <w:szCs w:val="22"/>
              </w:rPr>
              <w:t>2</w:t>
            </w:r>
            <w:r w:rsidR="000F5F31">
              <w:rPr>
                <w:rFonts w:asciiTheme="minorHAnsi" w:hAnsiTheme="minorHAnsi"/>
                <w:sz w:val="22"/>
                <w:szCs w:val="22"/>
              </w:rPr>
              <w:t xml:space="preserve">. </w:t>
            </w:r>
            <w:r>
              <w:rPr>
                <w:rFonts w:asciiTheme="minorHAnsi" w:hAnsiTheme="minorHAnsi"/>
                <w:sz w:val="22"/>
                <w:szCs w:val="22"/>
              </w:rPr>
              <w:t xml:space="preserve">Cílem </w:t>
            </w:r>
            <w:r>
              <w:rPr>
                <w:rFonts w:asciiTheme="minorHAnsi" w:hAnsiTheme="minorHAnsi"/>
                <w:sz w:val="22"/>
                <w:szCs w:val="22"/>
              </w:rPr>
              <w:lastRenderedPageBreak/>
              <w:t>projektu je stanovení Strategie o</w:t>
            </w:r>
            <w:r w:rsidRPr="002407B8">
              <w:rPr>
                <w:rFonts w:asciiTheme="minorHAnsi" w:hAnsiTheme="minorHAnsi"/>
                <w:sz w:val="22"/>
                <w:szCs w:val="22"/>
              </w:rPr>
              <w:t>ptimální</w:t>
            </w:r>
            <w:r>
              <w:rPr>
                <w:rFonts w:asciiTheme="minorHAnsi" w:hAnsiTheme="minorHAnsi"/>
                <w:sz w:val="22"/>
                <w:szCs w:val="22"/>
              </w:rPr>
              <w:t>ho</w:t>
            </w:r>
            <w:r w:rsidRPr="002407B8">
              <w:rPr>
                <w:rFonts w:asciiTheme="minorHAnsi" w:hAnsiTheme="minorHAnsi"/>
                <w:sz w:val="22"/>
                <w:szCs w:val="22"/>
              </w:rPr>
              <w:t xml:space="preserve"> využití obnovitelných zdrojů energie v dopravě </w:t>
            </w:r>
            <w:r>
              <w:rPr>
                <w:rFonts w:asciiTheme="minorHAnsi" w:hAnsiTheme="minorHAnsi"/>
                <w:sz w:val="22"/>
                <w:szCs w:val="22"/>
              </w:rPr>
              <w:t xml:space="preserve">po roce 2020. Projekt je zaměřen na stanovení optimálního mixu obnovitelných zdrojů energie v dopravě a na nastavení opatření k zajištění splnění daného mixu OZE. </w:t>
            </w:r>
            <w:r w:rsidR="00FE198A">
              <w:rPr>
                <w:rFonts w:asciiTheme="minorHAnsi" w:hAnsiTheme="minorHAnsi"/>
                <w:sz w:val="22"/>
                <w:szCs w:val="22"/>
              </w:rPr>
              <w:t>Výstupy tohoto projektu by potenciálně mohli být využitelné pro formulaci koordinované strategie na podporu výzkumu a vývoje v oblasti výroby pokročilých biopaliv z nepotravinářské biomasy a odpadů.</w:t>
            </w:r>
          </w:p>
        </w:tc>
      </w:tr>
    </w:tbl>
    <w:p w14:paraId="6B4FCBCC" w14:textId="77777777" w:rsidR="00D732E0" w:rsidRPr="000B6057" w:rsidRDefault="00D732E0" w:rsidP="006E05C2">
      <w:pPr>
        <w:pStyle w:val="Nadpis2"/>
      </w:pPr>
      <w:bookmarkStart w:id="24" w:name="_Toc498509200"/>
      <w:r w:rsidRPr="000B6057">
        <w:lastRenderedPageBreak/>
        <w:t>Nástroje v oblasti fiskální a daňové</w:t>
      </w:r>
      <w:bookmarkEnd w:id="24"/>
    </w:p>
    <w:p w14:paraId="626C9D41" w14:textId="3653896F" w:rsidR="00614789" w:rsidRPr="000B6057" w:rsidRDefault="00614789" w:rsidP="00614789">
      <w:pPr>
        <w:spacing w:after="240"/>
        <w:jc w:val="both"/>
        <w:rPr>
          <w:rFonts w:asciiTheme="minorHAnsi" w:hAnsiTheme="minorHAnsi"/>
          <w:sz w:val="22"/>
          <w:szCs w:val="22"/>
        </w:rPr>
      </w:pPr>
      <w:r w:rsidRPr="000B6057">
        <w:rPr>
          <w:rFonts w:asciiTheme="minorHAnsi" w:hAnsiTheme="minorHAnsi"/>
          <w:sz w:val="22"/>
          <w:szCs w:val="22"/>
        </w:rPr>
        <w:t>V oblasti fiskální a daňové byly všechny úkoly stanovené v rámci nástrojů formulovaných ve vztahu k využití prostředků poskytovaných z fondů Evropské unie splněny a jejich plnění je zajištěno také pro další období.</w:t>
      </w:r>
    </w:p>
    <w:tbl>
      <w:tblPr>
        <w:tblStyle w:val="Mkatabulky"/>
        <w:tblW w:w="4959" w:type="pct"/>
        <w:tblLook w:val="04A0" w:firstRow="1" w:lastRow="0" w:firstColumn="1" w:lastColumn="0" w:noHBand="0" w:noVBand="1"/>
      </w:tblPr>
      <w:tblGrid>
        <w:gridCol w:w="1535"/>
        <w:gridCol w:w="7677"/>
      </w:tblGrid>
      <w:tr w:rsidR="000816BE" w:rsidRPr="006B443D" w14:paraId="16A37518" w14:textId="77777777" w:rsidTr="002E4D72">
        <w:tc>
          <w:tcPr>
            <w:tcW w:w="833" w:type="pct"/>
            <w:shd w:val="clear" w:color="auto" w:fill="DBE5F1" w:themeFill="accent1" w:themeFillTint="33"/>
            <w:vAlign w:val="center"/>
          </w:tcPr>
          <w:p w14:paraId="6F4A4E50" w14:textId="77777777" w:rsidR="000816BE" w:rsidRPr="000B6057" w:rsidRDefault="000816BE" w:rsidP="00B2337B">
            <w:pPr>
              <w:keepNext/>
              <w:jc w:val="center"/>
              <w:rPr>
                <w:rFonts w:asciiTheme="minorHAnsi" w:hAnsiTheme="minorHAnsi"/>
                <w:b/>
                <w:sz w:val="22"/>
                <w:szCs w:val="22"/>
              </w:rPr>
            </w:pPr>
            <w:r w:rsidRPr="000B6057">
              <w:rPr>
                <w:rFonts w:asciiTheme="minorHAnsi" w:hAnsiTheme="minorHAnsi"/>
                <w:b/>
                <w:sz w:val="22"/>
                <w:szCs w:val="22"/>
              </w:rPr>
              <w:t>Nástroj</w:t>
            </w:r>
          </w:p>
        </w:tc>
        <w:tc>
          <w:tcPr>
            <w:tcW w:w="4167" w:type="pct"/>
            <w:shd w:val="clear" w:color="auto" w:fill="DBE5F1" w:themeFill="accent1" w:themeFillTint="33"/>
            <w:vAlign w:val="center"/>
          </w:tcPr>
          <w:p w14:paraId="10AB4C86" w14:textId="77777777" w:rsidR="000816BE" w:rsidRPr="006B443D" w:rsidRDefault="009076FF" w:rsidP="00B2337B">
            <w:pPr>
              <w:keepNext/>
              <w:spacing w:before="120" w:after="120"/>
              <w:jc w:val="both"/>
              <w:rPr>
                <w:rFonts w:asciiTheme="minorHAnsi" w:hAnsiTheme="minorHAnsi"/>
                <w:b/>
                <w:sz w:val="22"/>
                <w:szCs w:val="22"/>
              </w:rPr>
            </w:pPr>
            <w:r w:rsidRPr="000B6057">
              <w:rPr>
                <w:rFonts w:asciiTheme="minorHAnsi" w:hAnsiTheme="minorHAnsi"/>
                <w:b/>
                <w:sz w:val="22"/>
                <w:szCs w:val="22"/>
              </w:rPr>
              <w:t>Fondy EU</w:t>
            </w:r>
          </w:p>
        </w:tc>
      </w:tr>
      <w:tr w:rsidR="000816BE" w:rsidRPr="006B443D" w14:paraId="61166562" w14:textId="77777777" w:rsidTr="00323AE1">
        <w:trPr>
          <w:cantSplit/>
        </w:trPr>
        <w:tc>
          <w:tcPr>
            <w:tcW w:w="833" w:type="pct"/>
            <w:vAlign w:val="center"/>
          </w:tcPr>
          <w:p w14:paraId="17CFC6FA"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19113393" w14:textId="0C9EE20A" w:rsidR="009076FF" w:rsidRPr="009076FF" w:rsidRDefault="009076FF" w:rsidP="009076FF">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9076FF">
              <w:rPr>
                <w:rFonts w:asciiTheme="minorHAnsi" w:hAnsiTheme="minorHAnsi"/>
                <w:sz w:val="22"/>
                <w:szCs w:val="22"/>
              </w:rPr>
              <w:t>Zajistit podmínky pro maximální možné čerpání CEF z části alokace tohoto fondu schválené pro podporu infrastrukturních energetických projektů na investice v</w:t>
            </w:r>
            <w:r w:rsidR="002F1E7C">
              <w:rPr>
                <w:rFonts w:asciiTheme="minorHAnsi" w:hAnsiTheme="minorHAnsi"/>
                <w:sz w:val="22"/>
                <w:szCs w:val="22"/>
              </w:rPr>
              <w:t> </w:t>
            </w:r>
            <w:r w:rsidRPr="009076FF">
              <w:rPr>
                <w:rFonts w:asciiTheme="minorHAnsi" w:hAnsiTheme="minorHAnsi"/>
                <w:sz w:val="22"/>
                <w:szCs w:val="22"/>
              </w:rPr>
              <w:t>ČR.</w:t>
            </w:r>
          </w:p>
          <w:p w14:paraId="43F43E35" w14:textId="77777777" w:rsidR="009076FF" w:rsidRPr="009076FF" w:rsidRDefault="009076FF" w:rsidP="009076FF">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9076FF">
              <w:rPr>
                <w:rFonts w:asciiTheme="minorHAnsi" w:hAnsiTheme="minorHAnsi"/>
                <w:sz w:val="22"/>
                <w:szCs w:val="22"/>
              </w:rPr>
              <w:t>Zajistit financování modernizace a rozvoje přenosové soustavy z prostředků ESIF. Zajistit financování zavádění chytrých prvků do distribučních soustav ze zdrojů ESIF.</w:t>
            </w:r>
          </w:p>
          <w:p w14:paraId="0C034CC0" w14:textId="61619A71" w:rsidR="009076FF" w:rsidRPr="009076FF" w:rsidRDefault="009076FF" w:rsidP="009076FF">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9076FF">
              <w:rPr>
                <w:rFonts w:asciiTheme="minorHAnsi" w:hAnsiTheme="minorHAnsi"/>
                <w:sz w:val="22"/>
                <w:szCs w:val="22"/>
              </w:rPr>
              <w:t>Zajistit v operačních programech podporu investic v oblasti úspor energie, zvyšování energetické účinnosti (efektivnosti) a podpory projektů obnovy systémů soustav zásobování teplem (kritérium energetické efektivity a</w:t>
            </w:r>
            <w:r w:rsidR="002F1E7C">
              <w:rPr>
                <w:rFonts w:asciiTheme="minorHAnsi" w:hAnsiTheme="minorHAnsi"/>
                <w:sz w:val="22"/>
                <w:szCs w:val="22"/>
              </w:rPr>
              <w:t> </w:t>
            </w:r>
            <w:r w:rsidRPr="009076FF">
              <w:rPr>
                <w:rFonts w:asciiTheme="minorHAnsi" w:hAnsiTheme="minorHAnsi"/>
                <w:sz w:val="22"/>
                <w:szCs w:val="22"/>
              </w:rPr>
              <w:t>energetických úspor zabudováno ve všech operačních programech).</w:t>
            </w:r>
          </w:p>
          <w:p w14:paraId="75A41EE3" w14:textId="77777777" w:rsidR="009076FF" w:rsidRPr="009076FF" w:rsidRDefault="009076FF" w:rsidP="009076FF">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9076FF">
              <w:rPr>
                <w:rFonts w:asciiTheme="minorHAnsi" w:hAnsiTheme="minorHAnsi"/>
                <w:sz w:val="22"/>
                <w:szCs w:val="22"/>
              </w:rPr>
              <w:t>Zajistit financování výzkumu a vývoje v energetice.</w:t>
            </w:r>
          </w:p>
          <w:p w14:paraId="3441F30F" w14:textId="77777777" w:rsidR="000816BE" w:rsidRPr="006B443D" w:rsidRDefault="009076FF" w:rsidP="009076FF">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9076FF">
              <w:rPr>
                <w:rFonts w:asciiTheme="minorHAnsi" w:hAnsiTheme="minorHAnsi"/>
                <w:sz w:val="22"/>
                <w:szCs w:val="22"/>
              </w:rPr>
              <w:t>Zajistit informovanost o poskytovaných podporách v oblasti energetiky pro ERÚ.</w:t>
            </w:r>
          </w:p>
        </w:tc>
      </w:tr>
      <w:tr w:rsidR="000816BE" w:rsidRPr="006B443D" w14:paraId="6C1A3AD5" w14:textId="77777777" w:rsidTr="002E4D72">
        <w:tc>
          <w:tcPr>
            <w:tcW w:w="833" w:type="pct"/>
            <w:vAlign w:val="center"/>
          </w:tcPr>
          <w:p w14:paraId="333C3FC3"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2966E98B" w14:textId="77777777" w:rsidR="000816BE" w:rsidRPr="006B443D" w:rsidRDefault="009076FF" w:rsidP="002E4D72">
            <w:pPr>
              <w:spacing w:before="120" w:after="120"/>
              <w:jc w:val="both"/>
              <w:rPr>
                <w:rFonts w:asciiTheme="minorHAnsi" w:hAnsiTheme="minorHAnsi"/>
                <w:sz w:val="22"/>
                <w:szCs w:val="22"/>
              </w:rPr>
            </w:pPr>
            <w:r w:rsidRPr="009076FF">
              <w:rPr>
                <w:rFonts w:asciiTheme="minorHAnsi" w:hAnsiTheme="minorHAnsi"/>
                <w:sz w:val="22"/>
                <w:szCs w:val="22"/>
              </w:rPr>
              <w:t xml:space="preserve">příslušní gestoři (MMR, MF, ÚV ČR, MPO, </w:t>
            </w:r>
            <w:proofErr w:type="spellStart"/>
            <w:r w:rsidRPr="009076FF">
              <w:rPr>
                <w:rFonts w:asciiTheme="minorHAnsi" w:hAnsiTheme="minorHAnsi"/>
                <w:sz w:val="22"/>
                <w:szCs w:val="22"/>
              </w:rPr>
              <w:t>MZe</w:t>
            </w:r>
            <w:proofErr w:type="spellEnd"/>
            <w:r w:rsidRPr="009076FF">
              <w:rPr>
                <w:rFonts w:asciiTheme="minorHAnsi" w:hAnsiTheme="minorHAnsi"/>
                <w:sz w:val="22"/>
                <w:szCs w:val="22"/>
              </w:rPr>
              <w:t>, MŽP), ERÚ</w:t>
            </w:r>
          </w:p>
        </w:tc>
      </w:tr>
      <w:tr w:rsidR="000816BE" w:rsidRPr="006B443D" w14:paraId="053679DA" w14:textId="77777777" w:rsidTr="002E4D72">
        <w:tc>
          <w:tcPr>
            <w:tcW w:w="833" w:type="pct"/>
            <w:vAlign w:val="center"/>
          </w:tcPr>
          <w:p w14:paraId="454FE634"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253F373A" w14:textId="77777777" w:rsidR="000816BE" w:rsidRPr="006B443D" w:rsidRDefault="009076FF" w:rsidP="002E4D72">
            <w:pPr>
              <w:spacing w:before="120" w:after="120"/>
              <w:jc w:val="both"/>
              <w:rPr>
                <w:rFonts w:asciiTheme="minorHAnsi" w:hAnsiTheme="minorHAnsi"/>
                <w:sz w:val="22"/>
                <w:szCs w:val="22"/>
              </w:rPr>
            </w:pPr>
            <w:r w:rsidRPr="009076FF">
              <w:rPr>
                <w:rFonts w:asciiTheme="minorHAnsi" w:hAnsiTheme="minorHAnsi"/>
                <w:sz w:val="22"/>
                <w:szCs w:val="22"/>
              </w:rPr>
              <w:t>do 31. 12. 2015, dále průběžně</w:t>
            </w:r>
          </w:p>
        </w:tc>
      </w:tr>
      <w:tr w:rsidR="000816BE" w:rsidRPr="006B443D" w14:paraId="28E60E83" w14:textId="77777777" w:rsidTr="002E4D72">
        <w:tc>
          <w:tcPr>
            <w:tcW w:w="833" w:type="pct"/>
            <w:vAlign w:val="center"/>
          </w:tcPr>
          <w:p w14:paraId="15ED4224"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4A0F1D6B" w14:textId="77777777" w:rsidR="009076FF" w:rsidRPr="009076FF" w:rsidRDefault="009076FF" w:rsidP="009076FF">
            <w:pPr>
              <w:overflowPunct w:val="0"/>
              <w:autoSpaceDE w:val="0"/>
              <w:autoSpaceDN w:val="0"/>
              <w:adjustRightInd w:val="0"/>
              <w:spacing w:before="120" w:after="120"/>
              <w:jc w:val="both"/>
              <w:textAlignment w:val="baseline"/>
              <w:rPr>
                <w:rFonts w:asciiTheme="minorHAnsi" w:hAnsiTheme="minorHAnsi"/>
                <w:b/>
                <w:sz w:val="22"/>
                <w:szCs w:val="22"/>
              </w:rPr>
            </w:pPr>
            <w:r w:rsidRPr="009076FF">
              <w:rPr>
                <w:rFonts w:asciiTheme="minorHAnsi" w:hAnsiTheme="minorHAnsi"/>
                <w:b/>
                <w:sz w:val="22"/>
                <w:szCs w:val="22"/>
              </w:rPr>
              <w:t>Splněno + plněno průběžně</w:t>
            </w:r>
          </w:p>
          <w:p w14:paraId="40E87081" w14:textId="28B441C4" w:rsidR="009076FF" w:rsidRDefault="009076FF" w:rsidP="009076FF">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 xml:space="preserve">V návaznosti na převod gesce </w:t>
            </w:r>
            <w:r w:rsidRPr="009076FF">
              <w:rPr>
                <w:rFonts w:asciiTheme="minorHAnsi" w:hAnsiTheme="minorHAnsi"/>
                <w:sz w:val="22"/>
                <w:szCs w:val="22"/>
              </w:rPr>
              <w:t>k nařízení EP a Rady č. 1316/2013, kterým se vytváří Nástroj pro propojení Evropy (CEF) z MF na MD</w:t>
            </w:r>
            <w:r>
              <w:rPr>
                <w:rFonts w:asciiTheme="minorHAnsi" w:hAnsiTheme="minorHAnsi"/>
                <w:sz w:val="22"/>
                <w:szCs w:val="22"/>
              </w:rPr>
              <w:t xml:space="preserve">, k němuž došlo v dubnu 2015, je </w:t>
            </w:r>
            <w:proofErr w:type="spellStart"/>
            <w:r>
              <w:rPr>
                <w:rFonts w:asciiTheme="minorHAnsi" w:hAnsiTheme="minorHAnsi"/>
                <w:sz w:val="22"/>
                <w:szCs w:val="22"/>
              </w:rPr>
              <w:t>spolugestorem</w:t>
            </w:r>
            <w:proofErr w:type="spellEnd"/>
            <w:r>
              <w:rPr>
                <w:rFonts w:asciiTheme="minorHAnsi" w:hAnsiTheme="minorHAnsi"/>
                <w:sz w:val="22"/>
                <w:szCs w:val="22"/>
              </w:rPr>
              <w:t xml:space="preserve"> tohoto nástroje</w:t>
            </w:r>
            <w:r w:rsidR="004843CF">
              <w:rPr>
                <w:rFonts w:asciiTheme="minorHAnsi" w:hAnsiTheme="minorHAnsi"/>
                <w:sz w:val="22"/>
                <w:szCs w:val="22"/>
              </w:rPr>
              <w:t xml:space="preserve"> SEK</w:t>
            </w:r>
            <w:r>
              <w:rPr>
                <w:rFonts w:asciiTheme="minorHAnsi" w:hAnsiTheme="minorHAnsi"/>
                <w:sz w:val="22"/>
                <w:szCs w:val="22"/>
              </w:rPr>
              <w:t xml:space="preserve"> </w:t>
            </w:r>
            <w:r w:rsidR="000D5150">
              <w:rPr>
                <w:rFonts w:asciiTheme="minorHAnsi" w:hAnsiTheme="minorHAnsi"/>
                <w:sz w:val="22"/>
                <w:szCs w:val="22"/>
              </w:rPr>
              <w:t>resort dopravy</w:t>
            </w:r>
            <w:r>
              <w:rPr>
                <w:rFonts w:asciiTheme="minorHAnsi" w:hAnsiTheme="minorHAnsi"/>
                <w:sz w:val="22"/>
                <w:szCs w:val="22"/>
              </w:rPr>
              <w:t xml:space="preserve"> namísto MF.</w:t>
            </w:r>
          </w:p>
          <w:p w14:paraId="6157F1FA" w14:textId="1D255584" w:rsidR="00FD0A98" w:rsidRPr="007871F9" w:rsidRDefault="009076FF" w:rsidP="000D6241">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7871F9">
              <w:rPr>
                <w:rFonts w:asciiTheme="minorHAnsi" w:hAnsiTheme="minorHAnsi"/>
                <w:sz w:val="22"/>
                <w:szCs w:val="22"/>
              </w:rPr>
              <w:t>Projekty, které mají možnost žádat o financování z CEF jsou pouze tzv. projekty společného zájmu (PCI) ustanovené dle nařízení Evropského parlamentu a</w:t>
            </w:r>
            <w:r w:rsidR="002F1E7C" w:rsidRPr="007871F9">
              <w:rPr>
                <w:rFonts w:asciiTheme="minorHAnsi" w:hAnsiTheme="minorHAnsi"/>
                <w:sz w:val="22"/>
                <w:szCs w:val="22"/>
              </w:rPr>
              <w:t> </w:t>
            </w:r>
            <w:r w:rsidRPr="007871F9">
              <w:rPr>
                <w:rFonts w:asciiTheme="minorHAnsi" w:hAnsiTheme="minorHAnsi"/>
                <w:sz w:val="22"/>
                <w:szCs w:val="22"/>
              </w:rPr>
              <w:t xml:space="preserve">Rady č. 347/2013, </w:t>
            </w:r>
            <w:r w:rsidR="0051187D" w:rsidRPr="007871F9">
              <w:rPr>
                <w:rFonts w:asciiTheme="minorHAnsi" w:hAnsiTheme="minorHAnsi"/>
                <w:sz w:val="22"/>
                <w:szCs w:val="22"/>
              </w:rPr>
              <w:t>kterým</w:t>
            </w:r>
            <w:r w:rsidRPr="007871F9">
              <w:rPr>
                <w:rFonts w:asciiTheme="minorHAnsi" w:hAnsiTheme="minorHAnsi"/>
                <w:sz w:val="22"/>
                <w:szCs w:val="22"/>
              </w:rPr>
              <w:t xml:space="preserve"> se stanoví hlavní směry pro transevropské energetické sítě. V oblasti elektroenergetiky</w:t>
            </w:r>
            <w:r w:rsidR="0074765D">
              <w:rPr>
                <w:rFonts w:asciiTheme="minorHAnsi" w:hAnsiTheme="minorHAnsi"/>
                <w:sz w:val="22"/>
                <w:szCs w:val="22"/>
              </w:rPr>
              <w:t xml:space="preserve"> (přenosové soustavy)</w:t>
            </w:r>
            <w:r w:rsidRPr="007871F9">
              <w:rPr>
                <w:rFonts w:asciiTheme="minorHAnsi" w:hAnsiTheme="minorHAnsi"/>
                <w:sz w:val="22"/>
                <w:szCs w:val="22"/>
              </w:rPr>
              <w:t xml:space="preserve"> Česká republika žádala</w:t>
            </w:r>
            <w:r w:rsidR="0051187D" w:rsidRPr="007871F9">
              <w:rPr>
                <w:rFonts w:asciiTheme="minorHAnsi" w:hAnsiTheme="minorHAnsi"/>
                <w:sz w:val="22"/>
                <w:szCs w:val="22"/>
              </w:rPr>
              <w:t>,</w:t>
            </w:r>
            <w:r w:rsidRPr="007871F9">
              <w:rPr>
                <w:rFonts w:asciiTheme="minorHAnsi" w:hAnsiTheme="minorHAnsi"/>
                <w:sz w:val="22"/>
                <w:szCs w:val="22"/>
              </w:rPr>
              <w:t xml:space="preserve"> nebo</w:t>
            </w:r>
            <w:r w:rsidR="0051187D" w:rsidRPr="007871F9">
              <w:rPr>
                <w:rFonts w:asciiTheme="minorHAnsi" w:hAnsiTheme="minorHAnsi"/>
                <w:sz w:val="22"/>
                <w:szCs w:val="22"/>
              </w:rPr>
              <w:t xml:space="preserve"> bude žádat, o podporu u celkem pěti</w:t>
            </w:r>
            <w:r w:rsidRPr="007871F9">
              <w:rPr>
                <w:rFonts w:asciiTheme="minorHAnsi" w:hAnsiTheme="minorHAnsi"/>
                <w:sz w:val="22"/>
                <w:szCs w:val="22"/>
              </w:rPr>
              <w:t xml:space="preserve"> </w:t>
            </w:r>
            <w:r w:rsidR="0051187D" w:rsidRPr="007871F9">
              <w:rPr>
                <w:rFonts w:asciiTheme="minorHAnsi" w:hAnsiTheme="minorHAnsi"/>
                <w:sz w:val="22"/>
                <w:szCs w:val="22"/>
              </w:rPr>
              <w:t xml:space="preserve">(dle požadavku Evropské komise byly projekty sdruženy do větších celků) </w:t>
            </w:r>
            <w:r w:rsidRPr="007871F9">
              <w:rPr>
                <w:rFonts w:asciiTheme="minorHAnsi" w:hAnsiTheme="minorHAnsi"/>
                <w:sz w:val="22"/>
                <w:szCs w:val="22"/>
              </w:rPr>
              <w:t>projektů</w:t>
            </w:r>
            <w:r w:rsidR="0051187D" w:rsidRPr="007871F9">
              <w:rPr>
                <w:rFonts w:asciiTheme="minorHAnsi" w:hAnsiTheme="minorHAnsi"/>
                <w:sz w:val="22"/>
                <w:szCs w:val="22"/>
              </w:rPr>
              <w:t xml:space="preserve">, přičemž se jedná o žádosti </w:t>
            </w:r>
            <w:r w:rsidR="0074765D">
              <w:rPr>
                <w:rFonts w:asciiTheme="minorHAnsi" w:hAnsiTheme="minorHAnsi"/>
                <w:sz w:val="22"/>
                <w:szCs w:val="22"/>
              </w:rPr>
              <w:t>jen</w:t>
            </w:r>
            <w:r w:rsidR="0051187D" w:rsidRPr="007871F9">
              <w:rPr>
                <w:rFonts w:asciiTheme="minorHAnsi" w:hAnsiTheme="minorHAnsi"/>
                <w:sz w:val="22"/>
                <w:szCs w:val="22"/>
              </w:rPr>
              <w:t xml:space="preserve"> na zpracování studií a dokumentace</w:t>
            </w:r>
            <w:r w:rsidR="00E17E6B" w:rsidRPr="007871F9">
              <w:rPr>
                <w:rFonts w:asciiTheme="minorHAnsi" w:hAnsiTheme="minorHAnsi"/>
                <w:sz w:val="22"/>
                <w:szCs w:val="22"/>
              </w:rPr>
              <w:t xml:space="preserve"> vzhledem k obtížné alokaci prostředků v rámci přeshraničního rozdělení nákladů (CBCA). P</w:t>
            </w:r>
            <w:r w:rsidRPr="007871F9">
              <w:rPr>
                <w:rFonts w:asciiTheme="minorHAnsi" w:hAnsiTheme="minorHAnsi"/>
                <w:sz w:val="22"/>
                <w:szCs w:val="22"/>
              </w:rPr>
              <w:t xml:space="preserve">ředkladatelem </w:t>
            </w:r>
            <w:r w:rsidR="00E17E6B" w:rsidRPr="007871F9">
              <w:rPr>
                <w:rFonts w:asciiTheme="minorHAnsi" w:hAnsiTheme="minorHAnsi"/>
                <w:sz w:val="22"/>
                <w:szCs w:val="22"/>
              </w:rPr>
              <w:t xml:space="preserve">těchto projektů </w:t>
            </w:r>
            <w:r w:rsidRPr="007871F9">
              <w:rPr>
                <w:rFonts w:asciiTheme="minorHAnsi" w:hAnsiTheme="minorHAnsi"/>
                <w:sz w:val="22"/>
                <w:szCs w:val="22"/>
              </w:rPr>
              <w:t xml:space="preserve">je společnost ČEPS, a.s., </w:t>
            </w:r>
            <w:r w:rsidR="00E17E6B" w:rsidRPr="007871F9">
              <w:rPr>
                <w:rFonts w:asciiTheme="minorHAnsi" w:hAnsiTheme="minorHAnsi"/>
                <w:sz w:val="22"/>
                <w:szCs w:val="22"/>
              </w:rPr>
              <w:t>která</w:t>
            </w:r>
            <w:r w:rsidRPr="007871F9">
              <w:rPr>
                <w:rFonts w:asciiTheme="minorHAnsi" w:hAnsiTheme="minorHAnsi"/>
                <w:sz w:val="22"/>
                <w:szCs w:val="22"/>
              </w:rPr>
              <w:t xml:space="preserve"> do 31. srpna 201</w:t>
            </w:r>
            <w:r w:rsidR="0074765D">
              <w:rPr>
                <w:rFonts w:asciiTheme="minorHAnsi" w:hAnsiTheme="minorHAnsi"/>
                <w:sz w:val="22"/>
                <w:szCs w:val="22"/>
              </w:rPr>
              <w:t>8</w:t>
            </w:r>
            <w:r w:rsidRPr="007871F9">
              <w:rPr>
                <w:rFonts w:asciiTheme="minorHAnsi" w:hAnsiTheme="minorHAnsi"/>
                <w:sz w:val="22"/>
                <w:szCs w:val="22"/>
              </w:rPr>
              <w:t xml:space="preserve"> obdržela příslib finančních prostředků z fondu CEF v celkové výši cca </w:t>
            </w:r>
            <w:r w:rsidR="000D6241">
              <w:rPr>
                <w:rFonts w:asciiTheme="minorHAnsi" w:hAnsiTheme="minorHAnsi"/>
                <w:sz w:val="22"/>
                <w:szCs w:val="22"/>
              </w:rPr>
              <w:t>1</w:t>
            </w:r>
            <w:r w:rsidR="0074765D">
              <w:rPr>
                <w:rFonts w:asciiTheme="minorHAnsi" w:hAnsiTheme="minorHAnsi"/>
                <w:sz w:val="22"/>
                <w:szCs w:val="22"/>
              </w:rPr>
              <w:t>39</w:t>
            </w:r>
            <w:r w:rsidR="000D6241">
              <w:rPr>
                <w:rFonts w:asciiTheme="minorHAnsi" w:hAnsiTheme="minorHAnsi"/>
                <w:sz w:val="22"/>
                <w:szCs w:val="22"/>
              </w:rPr>
              <w:t xml:space="preserve"> mil. Kč</w:t>
            </w:r>
            <w:r w:rsidRPr="007871F9">
              <w:rPr>
                <w:rFonts w:asciiTheme="minorHAnsi" w:hAnsiTheme="minorHAnsi"/>
                <w:sz w:val="22"/>
                <w:szCs w:val="22"/>
              </w:rPr>
              <w:t>.</w:t>
            </w:r>
            <w:r w:rsidR="00E17E6B" w:rsidRPr="007871F9">
              <w:rPr>
                <w:rFonts w:asciiTheme="minorHAnsi" w:hAnsiTheme="minorHAnsi"/>
                <w:sz w:val="22"/>
                <w:szCs w:val="22"/>
              </w:rPr>
              <w:t xml:space="preserve"> Finanční prostředky ve výši cca </w:t>
            </w:r>
            <w:r w:rsidR="0074765D">
              <w:rPr>
                <w:rFonts w:asciiTheme="minorHAnsi" w:hAnsiTheme="minorHAnsi"/>
                <w:sz w:val="22"/>
                <w:szCs w:val="22"/>
              </w:rPr>
              <w:t>137</w:t>
            </w:r>
            <w:r w:rsidR="000D6241">
              <w:rPr>
                <w:rFonts w:asciiTheme="minorHAnsi" w:hAnsiTheme="minorHAnsi"/>
                <w:sz w:val="22"/>
                <w:szCs w:val="22"/>
              </w:rPr>
              <w:t xml:space="preserve"> mil. Kč</w:t>
            </w:r>
            <w:r w:rsidR="00E17E6B" w:rsidRPr="007871F9">
              <w:rPr>
                <w:rFonts w:asciiTheme="minorHAnsi" w:hAnsiTheme="minorHAnsi"/>
                <w:sz w:val="22"/>
                <w:szCs w:val="22"/>
              </w:rPr>
              <w:t xml:space="preserve"> již byly vyplaceny.</w:t>
            </w:r>
            <w:r w:rsidR="000D6241">
              <w:t xml:space="preserve"> </w:t>
            </w:r>
            <w:r w:rsidR="000D6241" w:rsidRPr="000D6241">
              <w:rPr>
                <w:rFonts w:asciiTheme="minorHAnsi" w:hAnsiTheme="minorHAnsi"/>
                <w:sz w:val="22"/>
                <w:szCs w:val="22"/>
              </w:rPr>
              <w:t>V rámci předchozího finančního programu Transevropské energetické sítě</w:t>
            </w:r>
            <w:r w:rsidR="000D6241">
              <w:rPr>
                <w:rFonts w:asciiTheme="minorHAnsi" w:hAnsiTheme="minorHAnsi"/>
                <w:sz w:val="22"/>
                <w:szCs w:val="22"/>
              </w:rPr>
              <w:t xml:space="preserve"> (TEN-E)</w:t>
            </w:r>
            <w:r w:rsidR="000D6241" w:rsidRPr="000D6241">
              <w:rPr>
                <w:rFonts w:asciiTheme="minorHAnsi" w:hAnsiTheme="minorHAnsi"/>
                <w:sz w:val="22"/>
                <w:szCs w:val="22"/>
              </w:rPr>
              <w:t xml:space="preserve">, který byl nahrazen CEF, </w:t>
            </w:r>
            <w:r w:rsidR="0074765D">
              <w:rPr>
                <w:rFonts w:asciiTheme="minorHAnsi" w:hAnsiTheme="minorHAnsi"/>
                <w:sz w:val="22"/>
                <w:szCs w:val="22"/>
              </w:rPr>
              <w:t xml:space="preserve">společnost </w:t>
            </w:r>
            <w:r w:rsidR="000D6241" w:rsidRPr="000D6241">
              <w:rPr>
                <w:rFonts w:asciiTheme="minorHAnsi" w:hAnsiTheme="minorHAnsi"/>
                <w:sz w:val="22"/>
                <w:szCs w:val="22"/>
              </w:rPr>
              <w:t>ČEPS</w:t>
            </w:r>
            <w:r w:rsidR="0074765D">
              <w:rPr>
                <w:rFonts w:asciiTheme="minorHAnsi" w:hAnsiTheme="minorHAnsi"/>
                <w:sz w:val="22"/>
                <w:szCs w:val="22"/>
              </w:rPr>
              <w:t>, a.s.,</w:t>
            </w:r>
            <w:r w:rsidR="000D6241" w:rsidRPr="000D6241">
              <w:rPr>
                <w:rFonts w:asciiTheme="minorHAnsi" w:hAnsiTheme="minorHAnsi"/>
                <w:sz w:val="22"/>
                <w:szCs w:val="22"/>
              </w:rPr>
              <w:t xml:space="preserve"> obdržela finanční prostředky v celkové výši cca 89 mil. Kč.</w:t>
            </w:r>
            <w:r w:rsidRPr="007871F9">
              <w:rPr>
                <w:rFonts w:asciiTheme="minorHAnsi" w:hAnsiTheme="minorHAnsi"/>
                <w:sz w:val="22"/>
                <w:szCs w:val="22"/>
              </w:rPr>
              <w:t xml:space="preserve"> </w:t>
            </w:r>
            <w:r w:rsidR="0074765D">
              <w:rPr>
                <w:rFonts w:asciiTheme="minorHAnsi" w:hAnsiTheme="minorHAnsi"/>
                <w:sz w:val="22"/>
                <w:szCs w:val="22"/>
              </w:rPr>
              <w:t xml:space="preserve">V oblasti chytrých sítí (Smart </w:t>
            </w:r>
            <w:proofErr w:type="spellStart"/>
            <w:r w:rsidR="0074765D">
              <w:rPr>
                <w:rFonts w:asciiTheme="minorHAnsi" w:hAnsiTheme="minorHAnsi"/>
                <w:sz w:val="22"/>
                <w:szCs w:val="22"/>
              </w:rPr>
              <w:t>Grids</w:t>
            </w:r>
            <w:proofErr w:type="spellEnd"/>
            <w:r w:rsidR="0074765D">
              <w:rPr>
                <w:rFonts w:asciiTheme="minorHAnsi" w:hAnsiTheme="minorHAnsi"/>
                <w:sz w:val="22"/>
                <w:szCs w:val="22"/>
              </w:rPr>
              <w:t xml:space="preserve">) bude v roce 2018 žádat </w:t>
            </w:r>
            <w:proofErr w:type="gramStart"/>
            <w:r w:rsidR="0074765D">
              <w:rPr>
                <w:rFonts w:asciiTheme="minorHAnsi" w:hAnsiTheme="minorHAnsi"/>
                <w:sz w:val="22"/>
                <w:szCs w:val="22"/>
              </w:rPr>
              <w:t>společnost E.ON</w:t>
            </w:r>
            <w:proofErr w:type="gramEnd"/>
            <w:r w:rsidR="0074765D">
              <w:rPr>
                <w:rFonts w:asciiTheme="minorHAnsi" w:hAnsiTheme="minorHAnsi"/>
                <w:sz w:val="22"/>
                <w:szCs w:val="22"/>
              </w:rPr>
              <w:t xml:space="preserve"> Distribuce, a.s., jako předkladatel PCI projektu ACON o finanční podporu z CEF v celkové </w:t>
            </w:r>
            <w:r w:rsidR="0074765D">
              <w:rPr>
                <w:rFonts w:asciiTheme="minorHAnsi" w:hAnsiTheme="minorHAnsi"/>
                <w:sz w:val="22"/>
                <w:szCs w:val="22"/>
              </w:rPr>
              <w:lastRenderedPageBreak/>
              <w:t xml:space="preserve">výši cca 2,3  mld. Kč. </w:t>
            </w:r>
            <w:r w:rsidRPr="007871F9">
              <w:rPr>
                <w:rFonts w:asciiTheme="minorHAnsi" w:hAnsiTheme="minorHAnsi"/>
                <w:sz w:val="22"/>
                <w:szCs w:val="22"/>
              </w:rPr>
              <w:t>V oblasti plynárenství má Česká republika</w:t>
            </w:r>
            <w:r w:rsidR="00636214" w:rsidRPr="007871F9">
              <w:rPr>
                <w:rFonts w:asciiTheme="minorHAnsi" w:hAnsiTheme="minorHAnsi"/>
                <w:sz w:val="22"/>
                <w:szCs w:val="22"/>
              </w:rPr>
              <w:t xml:space="preserve"> aktuálně</w:t>
            </w:r>
            <w:r w:rsidR="00E17E6B" w:rsidRPr="007871F9">
              <w:rPr>
                <w:rFonts w:asciiTheme="minorHAnsi" w:hAnsiTheme="minorHAnsi"/>
                <w:sz w:val="22"/>
                <w:szCs w:val="22"/>
              </w:rPr>
              <w:t xml:space="preserve"> celkem</w:t>
            </w:r>
            <w:r w:rsidRPr="007871F9">
              <w:rPr>
                <w:rFonts w:asciiTheme="minorHAnsi" w:hAnsiTheme="minorHAnsi"/>
                <w:sz w:val="22"/>
                <w:szCs w:val="22"/>
              </w:rPr>
              <w:t xml:space="preserve"> </w:t>
            </w:r>
            <w:r w:rsidR="00636214" w:rsidRPr="007871F9">
              <w:rPr>
                <w:rFonts w:asciiTheme="minorHAnsi" w:hAnsiTheme="minorHAnsi"/>
                <w:sz w:val="22"/>
                <w:szCs w:val="22"/>
              </w:rPr>
              <w:t>2</w:t>
            </w:r>
            <w:r w:rsidRPr="007871F9">
              <w:rPr>
                <w:rFonts w:asciiTheme="minorHAnsi" w:hAnsiTheme="minorHAnsi"/>
                <w:sz w:val="22"/>
                <w:szCs w:val="22"/>
              </w:rPr>
              <w:t xml:space="preserve"> projekty, jejichž předkladatelem je společnost NET4GAS, s.r.o.</w:t>
            </w:r>
            <w:r w:rsidR="007871F9" w:rsidRPr="007871F9">
              <w:rPr>
                <w:rFonts w:asciiTheme="minorHAnsi" w:hAnsiTheme="minorHAnsi"/>
                <w:sz w:val="22"/>
                <w:szCs w:val="22"/>
              </w:rPr>
              <w:t>, který úspěšně žádal a čerpal finanční prostředky na zpracování studií.</w:t>
            </w:r>
            <w:r w:rsidR="00CB16ED">
              <w:rPr>
                <w:rFonts w:asciiTheme="minorHAnsi" w:hAnsiTheme="minorHAnsi"/>
                <w:sz w:val="22"/>
                <w:szCs w:val="22"/>
              </w:rPr>
              <w:t xml:space="preserve"> K projektu STORK II bylo přijato CBCA rozhodnutí verifikované EU, avšak společnost NET4GAS</w:t>
            </w:r>
            <w:r w:rsidR="00CB16ED" w:rsidRPr="007871F9">
              <w:rPr>
                <w:rFonts w:asciiTheme="minorHAnsi" w:hAnsiTheme="minorHAnsi"/>
                <w:sz w:val="22"/>
                <w:szCs w:val="22"/>
              </w:rPr>
              <w:t>, s.r.o.,</w:t>
            </w:r>
            <w:r w:rsidR="00CB16ED">
              <w:rPr>
                <w:rFonts w:asciiTheme="minorHAnsi" w:hAnsiTheme="minorHAnsi"/>
                <w:sz w:val="22"/>
                <w:szCs w:val="22"/>
              </w:rPr>
              <w:t xml:space="preserve"> nepřijala finální investiční rozhodnutí (FID) k tomuto projektu, ani nepodepsala dohodu o čerpání přidělených prostředků z fondu CEF. Přidělené prostředky tak nebudou čerpány. Projekt BACI byl pak podmíněně zařazen i na 3. seznam PCI. Ani v tomto případě ale není přijato FID promotéra, ani není jasné konečné technické řešení. O vydání CBCA na tento projekt nebylo požádáno.</w:t>
            </w:r>
            <w:r w:rsidRPr="007871F9">
              <w:rPr>
                <w:rFonts w:asciiTheme="minorHAnsi" w:hAnsiTheme="minorHAnsi"/>
                <w:sz w:val="22"/>
                <w:szCs w:val="22"/>
              </w:rPr>
              <w:t xml:space="preserve"> Hodnocení a schvalování žádostí o přeshraniční rozdělení nákladů je prováděno ze strany ERÚ. Gestorem koordinace využití nástroje CEF je MD, které také poskytuje potenciálním žadatelům o podporu a</w:t>
            </w:r>
            <w:r w:rsidR="00E2556D">
              <w:rPr>
                <w:rFonts w:asciiTheme="minorHAnsi" w:hAnsiTheme="minorHAnsi"/>
                <w:sz w:val="22"/>
                <w:szCs w:val="22"/>
              </w:rPr>
              <w:t xml:space="preserve"> jejím</w:t>
            </w:r>
            <w:r w:rsidRPr="007871F9">
              <w:rPr>
                <w:rFonts w:asciiTheme="minorHAnsi" w:hAnsiTheme="minorHAnsi"/>
                <w:sz w:val="22"/>
                <w:szCs w:val="22"/>
              </w:rPr>
              <w:t xml:space="preserve"> příjemcům informační a</w:t>
            </w:r>
            <w:r w:rsidR="00353CF2">
              <w:rPr>
                <w:rFonts w:asciiTheme="minorHAnsi" w:hAnsiTheme="minorHAnsi"/>
                <w:sz w:val="22"/>
                <w:szCs w:val="22"/>
              </w:rPr>
              <w:t> </w:t>
            </w:r>
            <w:r w:rsidRPr="007871F9">
              <w:rPr>
                <w:rFonts w:asciiTheme="minorHAnsi" w:hAnsiTheme="minorHAnsi"/>
                <w:sz w:val="22"/>
                <w:szCs w:val="22"/>
              </w:rPr>
              <w:t>metodickou pomoc.</w:t>
            </w:r>
            <w:r w:rsidR="007871F9" w:rsidRPr="007871F9">
              <w:rPr>
                <w:rFonts w:asciiTheme="minorHAnsi" w:hAnsiTheme="minorHAnsi"/>
                <w:sz w:val="22"/>
                <w:szCs w:val="22"/>
              </w:rPr>
              <w:t xml:space="preserve"> </w:t>
            </w:r>
            <w:r w:rsidR="00E2556D">
              <w:rPr>
                <w:rFonts w:asciiTheme="minorHAnsi" w:hAnsiTheme="minorHAnsi"/>
                <w:sz w:val="22"/>
                <w:szCs w:val="22"/>
              </w:rPr>
              <w:t>Od</w:t>
            </w:r>
            <w:r w:rsidR="00FD0A98" w:rsidRPr="007871F9">
              <w:rPr>
                <w:rFonts w:asciiTheme="minorHAnsi" w:hAnsiTheme="minorHAnsi"/>
                <w:sz w:val="22"/>
                <w:szCs w:val="22"/>
              </w:rPr>
              <w:t> </w:t>
            </w:r>
            <w:r w:rsidR="0074765D">
              <w:rPr>
                <w:rFonts w:asciiTheme="minorHAnsi" w:hAnsiTheme="minorHAnsi"/>
                <w:sz w:val="22"/>
                <w:szCs w:val="22"/>
              </w:rPr>
              <w:t>říjn</w:t>
            </w:r>
            <w:r w:rsidR="00E2556D">
              <w:rPr>
                <w:rFonts w:asciiTheme="minorHAnsi" w:hAnsiTheme="minorHAnsi"/>
                <w:sz w:val="22"/>
                <w:szCs w:val="22"/>
              </w:rPr>
              <w:t>a</w:t>
            </w:r>
            <w:r w:rsidR="0074765D">
              <w:rPr>
                <w:rFonts w:asciiTheme="minorHAnsi" w:hAnsiTheme="minorHAnsi"/>
                <w:sz w:val="22"/>
                <w:szCs w:val="22"/>
              </w:rPr>
              <w:t xml:space="preserve"> 2018 </w:t>
            </w:r>
            <w:r w:rsidR="00E2556D">
              <w:rPr>
                <w:rFonts w:asciiTheme="minorHAnsi" w:hAnsiTheme="minorHAnsi"/>
                <w:sz w:val="22"/>
                <w:szCs w:val="22"/>
              </w:rPr>
              <w:t>je</w:t>
            </w:r>
            <w:r w:rsidR="0074765D">
              <w:rPr>
                <w:rFonts w:asciiTheme="minorHAnsi" w:hAnsiTheme="minorHAnsi"/>
                <w:sz w:val="22"/>
                <w:szCs w:val="22"/>
              </w:rPr>
              <w:t xml:space="preserve"> na úrovni Evropské komise vyjednáván</w:t>
            </w:r>
            <w:r w:rsidR="00E2556D">
              <w:rPr>
                <w:rFonts w:asciiTheme="minorHAnsi" w:hAnsiTheme="minorHAnsi"/>
                <w:sz w:val="22"/>
                <w:szCs w:val="22"/>
              </w:rPr>
              <w:t xml:space="preserve"> již</w:t>
            </w:r>
            <w:r w:rsidR="0074765D">
              <w:rPr>
                <w:rFonts w:asciiTheme="minorHAnsi" w:hAnsiTheme="minorHAnsi"/>
                <w:sz w:val="22"/>
                <w:szCs w:val="22"/>
              </w:rPr>
              <w:t xml:space="preserve"> 4. seznam</w:t>
            </w:r>
            <w:r w:rsidR="00FD0A98" w:rsidRPr="007871F9">
              <w:rPr>
                <w:rFonts w:asciiTheme="minorHAnsi" w:hAnsiTheme="minorHAnsi"/>
                <w:sz w:val="22"/>
                <w:szCs w:val="22"/>
              </w:rPr>
              <w:t xml:space="preserve"> projektů PCI.</w:t>
            </w:r>
          </w:p>
          <w:p w14:paraId="603AF5C6" w14:textId="37516B39" w:rsidR="009076FF" w:rsidRPr="009076FF" w:rsidRDefault="009076FF" w:rsidP="00DD0755">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9076FF">
              <w:rPr>
                <w:rFonts w:asciiTheme="minorHAnsi" w:hAnsiTheme="minorHAnsi"/>
                <w:sz w:val="22"/>
                <w:szCs w:val="22"/>
              </w:rPr>
              <w:t>Financování</w:t>
            </w:r>
            <w:r w:rsidRPr="00100EBE">
              <w:rPr>
                <w:rFonts w:asciiTheme="minorHAnsi" w:hAnsiTheme="minorHAnsi"/>
                <w:sz w:val="22"/>
                <w:szCs w:val="22"/>
              </w:rPr>
              <w:t xml:space="preserve"> </w:t>
            </w:r>
            <w:r w:rsidR="00DD0755">
              <w:rPr>
                <w:rFonts w:asciiTheme="minorHAnsi" w:hAnsiTheme="minorHAnsi"/>
                <w:sz w:val="22"/>
                <w:szCs w:val="22"/>
              </w:rPr>
              <w:t xml:space="preserve">nástrojem stanovených </w:t>
            </w:r>
            <w:r w:rsidRPr="00100EBE">
              <w:rPr>
                <w:rFonts w:asciiTheme="minorHAnsi" w:hAnsiTheme="minorHAnsi"/>
                <w:sz w:val="22"/>
                <w:szCs w:val="22"/>
              </w:rPr>
              <w:t>aktivit</w:t>
            </w:r>
            <w:r w:rsidRPr="009076FF">
              <w:rPr>
                <w:rFonts w:asciiTheme="minorHAnsi" w:hAnsiTheme="minorHAnsi"/>
                <w:sz w:val="22"/>
                <w:szCs w:val="22"/>
              </w:rPr>
              <w:t xml:space="preserve"> z prostředků ESIF je v souladu s</w:t>
            </w:r>
            <w:r w:rsidR="004C3DA8">
              <w:rPr>
                <w:rFonts w:asciiTheme="minorHAnsi" w:hAnsiTheme="minorHAnsi"/>
                <w:sz w:val="22"/>
                <w:szCs w:val="22"/>
              </w:rPr>
              <w:t> </w:t>
            </w:r>
            <w:r w:rsidRPr="009076FF">
              <w:rPr>
                <w:rFonts w:asciiTheme="minorHAnsi" w:hAnsiTheme="minorHAnsi"/>
                <w:sz w:val="22"/>
                <w:szCs w:val="22"/>
              </w:rPr>
              <w:t>„Dohodou o</w:t>
            </w:r>
            <w:r w:rsidR="002F1E7C">
              <w:rPr>
                <w:rFonts w:asciiTheme="minorHAnsi" w:hAnsiTheme="minorHAnsi"/>
                <w:sz w:val="22"/>
                <w:szCs w:val="22"/>
              </w:rPr>
              <w:t> </w:t>
            </w:r>
            <w:r w:rsidRPr="009076FF">
              <w:rPr>
                <w:rFonts w:asciiTheme="minorHAnsi" w:hAnsiTheme="minorHAnsi"/>
                <w:sz w:val="22"/>
                <w:szCs w:val="22"/>
              </w:rPr>
              <w:t xml:space="preserve">partnerství" a v ní definovaných očekávaných výsledků a je realizováno především v rámci OP PIK </w:t>
            </w:r>
            <w:r w:rsidR="00100EBE">
              <w:rPr>
                <w:rFonts w:asciiTheme="minorHAnsi" w:hAnsiTheme="minorHAnsi"/>
                <w:sz w:val="22"/>
                <w:szCs w:val="22"/>
              </w:rPr>
              <w:t>prioritní osy</w:t>
            </w:r>
            <w:r w:rsidR="00064398">
              <w:rPr>
                <w:rFonts w:asciiTheme="minorHAnsi" w:hAnsiTheme="minorHAnsi"/>
                <w:sz w:val="22"/>
                <w:szCs w:val="22"/>
              </w:rPr>
              <w:t xml:space="preserve"> (PO)</w:t>
            </w:r>
            <w:r w:rsidR="00100EBE">
              <w:rPr>
                <w:rFonts w:asciiTheme="minorHAnsi" w:hAnsiTheme="minorHAnsi"/>
                <w:sz w:val="22"/>
                <w:szCs w:val="22"/>
              </w:rPr>
              <w:t xml:space="preserve"> 1 „Rozvoj výzkumu a</w:t>
            </w:r>
            <w:r w:rsidR="00353CF2">
              <w:rPr>
                <w:rFonts w:asciiTheme="minorHAnsi" w:hAnsiTheme="minorHAnsi"/>
                <w:sz w:val="22"/>
                <w:szCs w:val="22"/>
              </w:rPr>
              <w:t> </w:t>
            </w:r>
            <w:r w:rsidR="00100EBE">
              <w:rPr>
                <w:rFonts w:asciiTheme="minorHAnsi" w:hAnsiTheme="minorHAnsi"/>
                <w:sz w:val="22"/>
                <w:szCs w:val="22"/>
              </w:rPr>
              <w:t xml:space="preserve">vývoje pro inovace“ a </w:t>
            </w:r>
            <w:r w:rsidR="00064398">
              <w:rPr>
                <w:rFonts w:asciiTheme="minorHAnsi" w:hAnsiTheme="minorHAnsi"/>
                <w:sz w:val="22"/>
                <w:szCs w:val="22"/>
              </w:rPr>
              <w:t>PO</w:t>
            </w:r>
            <w:r w:rsidRPr="009076FF">
              <w:rPr>
                <w:rFonts w:asciiTheme="minorHAnsi" w:hAnsiTheme="minorHAnsi"/>
                <w:sz w:val="22"/>
                <w:szCs w:val="22"/>
              </w:rPr>
              <w:t xml:space="preserve"> 3 „Účinné nakládání energií, rozvoj energetické infrastruktury a obnovitelných zdrojů energie, podpora zavádění nových technologií v oblasti nakládání energií a druhotných surovin“</w:t>
            </w:r>
            <w:r w:rsidR="00100EBE">
              <w:rPr>
                <w:rFonts w:asciiTheme="minorHAnsi" w:hAnsiTheme="minorHAnsi"/>
                <w:sz w:val="22"/>
                <w:szCs w:val="22"/>
              </w:rPr>
              <w:t>, přičemž v PO 3</w:t>
            </w:r>
            <w:r w:rsidRPr="009076FF">
              <w:rPr>
                <w:rFonts w:asciiTheme="minorHAnsi" w:hAnsiTheme="minorHAnsi"/>
                <w:sz w:val="22"/>
                <w:szCs w:val="22"/>
              </w:rPr>
              <w:t xml:space="preserve"> je alokováno </w:t>
            </w:r>
            <w:r w:rsidR="004843CF">
              <w:rPr>
                <w:rFonts w:asciiTheme="minorHAnsi" w:hAnsiTheme="minorHAnsi"/>
                <w:sz w:val="22"/>
                <w:szCs w:val="22"/>
              </w:rPr>
              <w:t>více než 3</w:t>
            </w:r>
            <w:r w:rsidRPr="009076FF">
              <w:rPr>
                <w:rFonts w:asciiTheme="minorHAnsi" w:hAnsiTheme="minorHAnsi"/>
                <w:sz w:val="22"/>
                <w:szCs w:val="22"/>
              </w:rPr>
              <w:t>0 mld. Kč, a také v rámci O</w:t>
            </w:r>
            <w:r w:rsidR="00064398">
              <w:rPr>
                <w:rFonts w:asciiTheme="minorHAnsi" w:hAnsiTheme="minorHAnsi"/>
                <w:sz w:val="22"/>
                <w:szCs w:val="22"/>
              </w:rPr>
              <w:t>peračního programu Životní prostředí 2014 - 2020 (O</w:t>
            </w:r>
            <w:r w:rsidRPr="009076FF">
              <w:rPr>
                <w:rFonts w:asciiTheme="minorHAnsi" w:hAnsiTheme="minorHAnsi"/>
                <w:sz w:val="22"/>
                <w:szCs w:val="22"/>
              </w:rPr>
              <w:t>P ŽP</w:t>
            </w:r>
            <w:r w:rsidR="00064398">
              <w:rPr>
                <w:rFonts w:asciiTheme="minorHAnsi" w:hAnsiTheme="minorHAnsi"/>
                <w:sz w:val="22"/>
                <w:szCs w:val="22"/>
              </w:rPr>
              <w:t>)</w:t>
            </w:r>
            <w:r w:rsidR="00DD0755">
              <w:rPr>
                <w:rFonts w:asciiTheme="minorHAnsi" w:hAnsiTheme="minorHAnsi"/>
                <w:sz w:val="22"/>
                <w:szCs w:val="22"/>
              </w:rPr>
              <w:t xml:space="preserve"> </w:t>
            </w:r>
            <w:r w:rsidR="00064398">
              <w:rPr>
                <w:rFonts w:asciiTheme="minorHAnsi" w:hAnsiTheme="minorHAnsi"/>
                <w:sz w:val="22"/>
                <w:szCs w:val="22"/>
              </w:rPr>
              <w:t>PO</w:t>
            </w:r>
            <w:r w:rsidR="00DD0755">
              <w:rPr>
                <w:rFonts w:asciiTheme="minorHAnsi" w:hAnsiTheme="minorHAnsi"/>
                <w:sz w:val="22"/>
                <w:szCs w:val="22"/>
              </w:rPr>
              <w:t xml:space="preserve"> 2 „</w:t>
            </w:r>
            <w:r w:rsidR="00DD0755" w:rsidRPr="00DD0755">
              <w:rPr>
                <w:rFonts w:asciiTheme="minorHAnsi" w:hAnsiTheme="minorHAnsi"/>
                <w:sz w:val="22"/>
                <w:szCs w:val="22"/>
              </w:rPr>
              <w:t>Zlepšování kvality ovzduší v lidských sídlech</w:t>
            </w:r>
            <w:r w:rsidR="00DD0755">
              <w:rPr>
                <w:rFonts w:asciiTheme="minorHAnsi" w:hAnsiTheme="minorHAnsi"/>
                <w:sz w:val="22"/>
                <w:szCs w:val="22"/>
              </w:rPr>
              <w:t>“</w:t>
            </w:r>
            <w:r w:rsidRPr="009076FF">
              <w:rPr>
                <w:rFonts w:asciiTheme="minorHAnsi" w:hAnsiTheme="minorHAnsi"/>
                <w:sz w:val="22"/>
                <w:szCs w:val="22"/>
              </w:rPr>
              <w:t>. Oblast energetických úspor a</w:t>
            </w:r>
            <w:r w:rsidR="002F1E7C">
              <w:rPr>
                <w:rFonts w:asciiTheme="minorHAnsi" w:hAnsiTheme="minorHAnsi"/>
                <w:sz w:val="22"/>
                <w:szCs w:val="22"/>
              </w:rPr>
              <w:t> </w:t>
            </w:r>
            <w:r w:rsidRPr="009076FF">
              <w:rPr>
                <w:rFonts w:asciiTheme="minorHAnsi" w:hAnsiTheme="minorHAnsi"/>
                <w:sz w:val="22"/>
                <w:szCs w:val="22"/>
              </w:rPr>
              <w:t>energetické účinnosti je kromě OP PIK rovněž realizována z OP ŽP (</w:t>
            </w:r>
            <w:r w:rsidR="002A6F9F">
              <w:rPr>
                <w:rFonts w:asciiTheme="minorHAnsi" w:hAnsiTheme="minorHAnsi"/>
                <w:sz w:val="22"/>
                <w:szCs w:val="22"/>
              </w:rPr>
              <w:t xml:space="preserve">PO 2, SC 2.1 </w:t>
            </w:r>
            <w:r w:rsidR="00E2556D">
              <w:rPr>
                <w:rFonts w:asciiTheme="minorHAnsi" w:hAnsiTheme="minorHAnsi"/>
                <w:sz w:val="22"/>
                <w:szCs w:val="22"/>
              </w:rPr>
              <w:t>„Sní</w:t>
            </w:r>
            <w:r w:rsidR="00064398">
              <w:rPr>
                <w:rFonts w:asciiTheme="minorHAnsi" w:hAnsiTheme="minorHAnsi"/>
                <w:sz w:val="22"/>
                <w:szCs w:val="22"/>
              </w:rPr>
              <w:t xml:space="preserve">žit emise z lokálního vytápění domácností podílející se na expozici obyvatelstva nadlimitním koncentracím znečišťujících látek“ </w:t>
            </w:r>
            <w:r w:rsidR="002A6F9F">
              <w:rPr>
                <w:rFonts w:asciiTheme="minorHAnsi" w:hAnsiTheme="minorHAnsi"/>
                <w:sz w:val="22"/>
                <w:szCs w:val="22"/>
              </w:rPr>
              <w:t xml:space="preserve">a </w:t>
            </w:r>
            <w:r w:rsidRPr="009076FF">
              <w:rPr>
                <w:rFonts w:asciiTheme="minorHAnsi" w:hAnsiTheme="minorHAnsi"/>
                <w:sz w:val="22"/>
                <w:szCs w:val="22"/>
              </w:rPr>
              <w:t>PO 5</w:t>
            </w:r>
            <w:r w:rsidR="00064398">
              <w:rPr>
                <w:rFonts w:asciiTheme="minorHAnsi" w:hAnsiTheme="minorHAnsi"/>
                <w:sz w:val="22"/>
                <w:szCs w:val="22"/>
              </w:rPr>
              <w:t xml:space="preserve"> „Energetické úspory“</w:t>
            </w:r>
            <w:r w:rsidRPr="009076FF">
              <w:rPr>
                <w:rFonts w:asciiTheme="minorHAnsi" w:hAnsiTheme="minorHAnsi"/>
                <w:sz w:val="22"/>
                <w:szCs w:val="22"/>
              </w:rPr>
              <w:t>, SC 5.1</w:t>
            </w:r>
            <w:r w:rsidR="00064398">
              <w:rPr>
                <w:rFonts w:asciiTheme="minorHAnsi" w:hAnsiTheme="minorHAnsi"/>
                <w:sz w:val="22"/>
                <w:szCs w:val="22"/>
              </w:rPr>
              <w:t xml:space="preserve"> „Snížit energetickou náročnost veřejných budov a zvýšit využití obnovitelných zdrojů energie“</w:t>
            </w:r>
            <w:r w:rsidRPr="009076FF">
              <w:rPr>
                <w:rFonts w:asciiTheme="minorHAnsi" w:hAnsiTheme="minorHAnsi"/>
                <w:sz w:val="22"/>
                <w:szCs w:val="22"/>
              </w:rPr>
              <w:t xml:space="preserve"> a 5.2</w:t>
            </w:r>
            <w:r w:rsidR="00064398">
              <w:rPr>
                <w:rFonts w:asciiTheme="minorHAnsi" w:hAnsiTheme="minorHAnsi"/>
                <w:sz w:val="22"/>
                <w:szCs w:val="22"/>
              </w:rPr>
              <w:t xml:space="preserve"> „Dosáhnout vysokého energetického standardu nových veřejných budov“</w:t>
            </w:r>
            <w:r w:rsidRPr="009076FF">
              <w:rPr>
                <w:rFonts w:asciiTheme="minorHAnsi" w:hAnsiTheme="minorHAnsi"/>
                <w:sz w:val="22"/>
                <w:szCs w:val="22"/>
              </w:rPr>
              <w:t>), IROP (PO 2, SC 2.5), OP PPR (PO 2, SC 2.1).</w:t>
            </w:r>
            <w:r w:rsidR="002A6F9F">
              <w:rPr>
                <w:rFonts w:asciiTheme="minorHAnsi" w:hAnsiTheme="minorHAnsi"/>
                <w:sz w:val="22"/>
                <w:szCs w:val="22"/>
              </w:rPr>
              <w:t xml:space="preserve"> Do října 201</w:t>
            </w:r>
            <w:r w:rsidR="00064398">
              <w:rPr>
                <w:rFonts w:asciiTheme="minorHAnsi" w:hAnsiTheme="minorHAnsi"/>
                <w:sz w:val="22"/>
                <w:szCs w:val="22"/>
              </w:rPr>
              <w:t>8</w:t>
            </w:r>
            <w:r w:rsidR="002A6F9F">
              <w:rPr>
                <w:rFonts w:asciiTheme="minorHAnsi" w:hAnsiTheme="minorHAnsi"/>
                <w:sz w:val="22"/>
                <w:szCs w:val="22"/>
              </w:rPr>
              <w:t xml:space="preserve"> byly ve všech operačních programech vyhlášeny příslušné výzvy a postupně dochází k čerpání podpory z alokovaných prostředků.</w:t>
            </w:r>
          </w:p>
          <w:p w14:paraId="40C6B0E0" w14:textId="3D6068D2" w:rsidR="004C3DA8" w:rsidRPr="009E5DD7" w:rsidRDefault="004C3DA8" w:rsidP="00B75FE2">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9E5DD7">
              <w:rPr>
                <w:rFonts w:asciiTheme="minorHAnsi" w:hAnsiTheme="minorHAnsi"/>
                <w:sz w:val="22"/>
                <w:szCs w:val="22"/>
              </w:rPr>
              <w:t>Na snížení energetické náročnosti a podporu úspor energie je v operačních programech financovaných z ESIF v programovém období 2014-2020 alokováno přibližně 59,4 mld. Kč, což dle NAP EE představuje 70 % celkové alokace dotačních programů v oblasti zvyšování energetické účinnosti. Mezi klíčové operační programy v oblasti energetické účinnosti patří OP</w:t>
            </w:r>
            <w:r w:rsidR="0017765A">
              <w:rPr>
                <w:rFonts w:asciiTheme="minorHAnsi" w:hAnsiTheme="minorHAnsi"/>
                <w:sz w:val="22"/>
                <w:szCs w:val="22"/>
              </w:rPr>
              <w:t xml:space="preserve"> </w:t>
            </w:r>
            <w:r w:rsidRPr="009E5DD7">
              <w:rPr>
                <w:rFonts w:asciiTheme="minorHAnsi" w:hAnsiTheme="minorHAnsi"/>
                <w:sz w:val="22"/>
                <w:szCs w:val="22"/>
              </w:rPr>
              <w:t>ŽP, IROP, OP PPR a</w:t>
            </w:r>
            <w:r>
              <w:rPr>
                <w:rFonts w:asciiTheme="minorHAnsi" w:hAnsiTheme="minorHAnsi"/>
                <w:sz w:val="22"/>
                <w:szCs w:val="22"/>
              </w:rPr>
              <w:t> </w:t>
            </w:r>
            <w:r w:rsidRPr="009E5DD7">
              <w:rPr>
                <w:rFonts w:asciiTheme="minorHAnsi" w:hAnsiTheme="minorHAnsi"/>
                <w:sz w:val="22"/>
                <w:szCs w:val="22"/>
              </w:rPr>
              <w:t>OP PIK. V rámci OP</w:t>
            </w:r>
            <w:r w:rsidR="0017765A">
              <w:rPr>
                <w:rFonts w:asciiTheme="minorHAnsi" w:hAnsiTheme="minorHAnsi"/>
                <w:sz w:val="22"/>
                <w:szCs w:val="22"/>
              </w:rPr>
              <w:t xml:space="preserve"> </w:t>
            </w:r>
            <w:r w:rsidRPr="009E5DD7">
              <w:rPr>
                <w:rFonts w:asciiTheme="minorHAnsi" w:hAnsiTheme="minorHAnsi"/>
                <w:sz w:val="22"/>
                <w:szCs w:val="22"/>
              </w:rPr>
              <w:t xml:space="preserve">ŽP </w:t>
            </w:r>
            <w:r w:rsidR="00064398">
              <w:rPr>
                <w:rFonts w:asciiTheme="minorHAnsi" w:hAnsiTheme="minorHAnsi"/>
                <w:sz w:val="22"/>
                <w:szCs w:val="22"/>
              </w:rPr>
              <w:t>bylo</w:t>
            </w:r>
            <w:r w:rsidRPr="009E5DD7">
              <w:rPr>
                <w:rFonts w:asciiTheme="minorHAnsi" w:hAnsiTheme="minorHAnsi"/>
                <w:sz w:val="22"/>
                <w:szCs w:val="22"/>
              </w:rPr>
              <w:t xml:space="preserve"> alokováno </w:t>
            </w:r>
            <w:r w:rsidR="00064398">
              <w:rPr>
                <w:rFonts w:asciiTheme="minorHAnsi" w:hAnsiTheme="minorHAnsi"/>
                <w:sz w:val="22"/>
                <w:szCs w:val="22"/>
              </w:rPr>
              <w:t>na PO 5 cca 13</w:t>
            </w:r>
            <w:r w:rsidR="00121EFC">
              <w:rPr>
                <w:rFonts w:asciiTheme="minorHAnsi" w:hAnsiTheme="minorHAnsi"/>
                <w:sz w:val="22"/>
                <w:szCs w:val="22"/>
              </w:rPr>
              <w:t>,6 mld. Kč a doposud vyhlášeno šest</w:t>
            </w:r>
            <w:r w:rsidR="00064398">
              <w:rPr>
                <w:rFonts w:asciiTheme="minorHAnsi" w:hAnsiTheme="minorHAnsi"/>
                <w:sz w:val="22"/>
                <w:szCs w:val="22"/>
              </w:rPr>
              <w:t xml:space="preserve"> výzev</w:t>
            </w:r>
            <w:r w:rsidRPr="009E5DD7">
              <w:rPr>
                <w:rFonts w:asciiTheme="minorHAnsi" w:hAnsiTheme="minorHAnsi"/>
                <w:sz w:val="22"/>
                <w:szCs w:val="22"/>
              </w:rPr>
              <w:t xml:space="preserve"> určených na renovace veřejných budov</w:t>
            </w:r>
            <w:r w:rsidR="00121EFC">
              <w:rPr>
                <w:rFonts w:asciiTheme="minorHAnsi" w:hAnsiTheme="minorHAnsi"/>
                <w:sz w:val="22"/>
                <w:szCs w:val="22"/>
              </w:rPr>
              <w:t xml:space="preserve"> a</w:t>
            </w:r>
            <w:r w:rsidRPr="009E5DD7">
              <w:rPr>
                <w:rFonts w:asciiTheme="minorHAnsi" w:hAnsiTheme="minorHAnsi"/>
                <w:sz w:val="22"/>
                <w:szCs w:val="22"/>
              </w:rPr>
              <w:t xml:space="preserve"> výstavbu veřejných budov v pasivním standardu</w:t>
            </w:r>
            <w:r w:rsidR="009273B2">
              <w:rPr>
                <w:rFonts w:asciiTheme="minorHAnsi" w:hAnsiTheme="minorHAnsi"/>
                <w:sz w:val="22"/>
                <w:szCs w:val="22"/>
              </w:rPr>
              <w:t xml:space="preserve"> a na PO 2, SC 2.1 cca 9 mld. Kč a</w:t>
            </w:r>
            <w:r w:rsidR="00353CF2">
              <w:rPr>
                <w:rFonts w:asciiTheme="minorHAnsi" w:hAnsiTheme="minorHAnsi"/>
                <w:sz w:val="22"/>
                <w:szCs w:val="22"/>
              </w:rPr>
              <w:t> </w:t>
            </w:r>
            <w:r w:rsidR="009273B2">
              <w:rPr>
                <w:rFonts w:asciiTheme="minorHAnsi" w:hAnsiTheme="minorHAnsi"/>
                <w:sz w:val="22"/>
                <w:szCs w:val="22"/>
              </w:rPr>
              <w:t xml:space="preserve">doposud vyhlášeny </w:t>
            </w:r>
            <w:r w:rsidR="00121EFC">
              <w:rPr>
                <w:rFonts w:asciiTheme="minorHAnsi" w:hAnsiTheme="minorHAnsi"/>
                <w:sz w:val="22"/>
                <w:szCs w:val="22"/>
              </w:rPr>
              <w:t>dvě</w:t>
            </w:r>
            <w:r w:rsidR="009273B2">
              <w:rPr>
                <w:rFonts w:asciiTheme="minorHAnsi" w:hAnsiTheme="minorHAnsi"/>
                <w:sz w:val="22"/>
                <w:szCs w:val="22"/>
              </w:rPr>
              <w:t xml:space="preserve"> výzvy určen</w:t>
            </w:r>
            <w:r w:rsidR="00121EFC">
              <w:rPr>
                <w:rFonts w:asciiTheme="minorHAnsi" w:hAnsiTheme="minorHAnsi"/>
                <w:sz w:val="22"/>
                <w:szCs w:val="22"/>
              </w:rPr>
              <w:t>é</w:t>
            </w:r>
            <w:r w:rsidRPr="009E5DD7">
              <w:rPr>
                <w:rFonts w:asciiTheme="minorHAnsi" w:hAnsiTheme="minorHAnsi"/>
                <w:sz w:val="22"/>
                <w:szCs w:val="22"/>
              </w:rPr>
              <w:t xml:space="preserve"> na výměnu zdrojů tepla v domácnostech. V </w:t>
            </w:r>
            <w:r>
              <w:rPr>
                <w:rFonts w:asciiTheme="minorHAnsi" w:hAnsiTheme="minorHAnsi"/>
                <w:sz w:val="22"/>
                <w:szCs w:val="22"/>
              </w:rPr>
              <w:t xml:space="preserve">zatím </w:t>
            </w:r>
            <w:r w:rsidR="00E83384">
              <w:rPr>
                <w:rFonts w:asciiTheme="minorHAnsi" w:hAnsiTheme="minorHAnsi"/>
                <w:sz w:val="22"/>
                <w:szCs w:val="22"/>
              </w:rPr>
              <w:t>uskutečněných</w:t>
            </w:r>
            <w:r>
              <w:rPr>
                <w:rFonts w:asciiTheme="minorHAnsi" w:hAnsiTheme="minorHAnsi"/>
                <w:sz w:val="22"/>
                <w:szCs w:val="22"/>
              </w:rPr>
              <w:t xml:space="preserve"> </w:t>
            </w:r>
            <w:r w:rsidRPr="009E5DD7">
              <w:rPr>
                <w:rFonts w:asciiTheme="minorHAnsi" w:hAnsiTheme="minorHAnsi"/>
                <w:sz w:val="22"/>
                <w:szCs w:val="22"/>
              </w:rPr>
              <w:t>výzvách pro veřejné subjekty se nenaplnilo očekávání o</w:t>
            </w:r>
            <w:r w:rsidR="00353CF2">
              <w:rPr>
                <w:rFonts w:asciiTheme="minorHAnsi" w:hAnsiTheme="minorHAnsi"/>
                <w:sz w:val="22"/>
                <w:szCs w:val="22"/>
              </w:rPr>
              <w:t> </w:t>
            </w:r>
            <w:r w:rsidRPr="009E5DD7">
              <w:rPr>
                <w:rFonts w:asciiTheme="minorHAnsi" w:hAnsiTheme="minorHAnsi"/>
                <w:sz w:val="22"/>
                <w:szCs w:val="22"/>
              </w:rPr>
              <w:t xml:space="preserve">čerpání finančních prostředků. V rámci IROP je na renovace bytových domů alokováno celkem </w:t>
            </w:r>
            <w:r w:rsidR="00AA3289">
              <w:rPr>
                <w:rFonts w:asciiTheme="minorHAnsi" w:hAnsiTheme="minorHAnsi"/>
                <w:sz w:val="22"/>
                <w:szCs w:val="22"/>
              </w:rPr>
              <w:t>9,6</w:t>
            </w:r>
            <w:r w:rsidRPr="009E5DD7">
              <w:rPr>
                <w:rFonts w:asciiTheme="minorHAnsi" w:hAnsiTheme="minorHAnsi"/>
                <w:sz w:val="22"/>
                <w:szCs w:val="22"/>
              </w:rPr>
              <w:t xml:space="preserve"> mld. Kč</w:t>
            </w:r>
            <w:r w:rsidR="00AA3289">
              <w:rPr>
                <w:rFonts w:asciiTheme="minorHAnsi" w:hAnsiTheme="minorHAnsi"/>
                <w:sz w:val="22"/>
                <w:szCs w:val="22"/>
              </w:rPr>
              <w:t xml:space="preserve"> (po plánované revizi</w:t>
            </w:r>
            <w:r w:rsidR="00A86691">
              <w:rPr>
                <w:rFonts w:asciiTheme="minorHAnsi" w:hAnsiTheme="minorHAnsi"/>
                <w:sz w:val="22"/>
                <w:szCs w:val="22"/>
              </w:rPr>
              <w:t xml:space="preserve"> Programového dokumentu IROP v 2.1</w:t>
            </w:r>
            <w:r w:rsidR="00AA3289">
              <w:rPr>
                <w:rFonts w:asciiTheme="minorHAnsi" w:hAnsiTheme="minorHAnsi"/>
                <w:sz w:val="22"/>
                <w:szCs w:val="22"/>
              </w:rPr>
              <w:t>)</w:t>
            </w:r>
            <w:r w:rsidRPr="009E5DD7">
              <w:rPr>
                <w:rFonts w:asciiTheme="minorHAnsi" w:hAnsiTheme="minorHAnsi"/>
                <w:sz w:val="22"/>
                <w:szCs w:val="22"/>
              </w:rPr>
              <w:t>. Podpora je směřována do celého spektra aktivit, např. na zateplení pláště budovy, výměnu oken, výměnu zdroje tepla až po využití OZE pro vlastní spotřebu. Obdobně jako v případě OP</w:t>
            </w:r>
            <w:r w:rsidR="0017765A">
              <w:rPr>
                <w:rFonts w:asciiTheme="minorHAnsi" w:hAnsiTheme="minorHAnsi"/>
                <w:sz w:val="22"/>
                <w:szCs w:val="22"/>
              </w:rPr>
              <w:t xml:space="preserve"> </w:t>
            </w:r>
            <w:r w:rsidRPr="009E5DD7">
              <w:rPr>
                <w:rFonts w:asciiTheme="minorHAnsi" w:hAnsiTheme="minorHAnsi"/>
                <w:sz w:val="22"/>
                <w:szCs w:val="22"/>
              </w:rPr>
              <w:t>ŽP nedošlo v rámci I.</w:t>
            </w:r>
            <w:r w:rsidR="00A86691">
              <w:rPr>
                <w:rFonts w:asciiTheme="minorHAnsi" w:hAnsiTheme="minorHAnsi"/>
                <w:sz w:val="22"/>
                <w:szCs w:val="22"/>
              </w:rPr>
              <w:t xml:space="preserve"> ani II. (č. 16 a 37)</w:t>
            </w:r>
            <w:r w:rsidRPr="009E5DD7">
              <w:rPr>
                <w:rFonts w:asciiTheme="minorHAnsi" w:hAnsiTheme="minorHAnsi"/>
                <w:sz w:val="22"/>
                <w:szCs w:val="22"/>
              </w:rPr>
              <w:t xml:space="preserve"> výzvy v programu IROP v důsledku nízkého zájmu žadatelů k vyčerpání alokace výzvy. </w:t>
            </w:r>
            <w:r w:rsidR="00A86691">
              <w:rPr>
                <w:rFonts w:asciiTheme="minorHAnsi" w:hAnsiTheme="minorHAnsi"/>
                <w:sz w:val="22"/>
                <w:szCs w:val="22"/>
              </w:rPr>
              <w:t xml:space="preserve">Následně byla vyhlášena výzva č. 78, v níž jsou podmínky pro žadatele maximálně zjednodušení a která je otevřena do 29. listopadu 2019. </w:t>
            </w:r>
            <w:r w:rsidRPr="009E5DD7">
              <w:rPr>
                <w:rFonts w:asciiTheme="minorHAnsi" w:hAnsiTheme="minorHAnsi"/>
                <w:sz w:val="22"/>
                <w:szCs w:val="22"/>
              </w:rPr>
              <w:t xml:space="preserve">V rámci OP PPR je na podporu snižování energetické náročnosti provozu městské veřejné dopravy a na realizace pilotních projektů přeměny městských budov na budovy s téměř nulovou spotřebou alokováno 1,9 mld. Kč. Na zvýšení energetické </w:t>
            </w:r>
            <w:r w:rsidRPr="009E5DD7">
              <w:rPr>
                <w:rFonts w:asciiTheme="minorHAnsi" w:hAnsiTheme="minorHAnsi"/>
                <w:sz w:val="22"/>
                <w:szCs w:val="22"/>
              </w:rPr>
              <w:lastRenderedPageBreak/>
              <w:t>účinnosti podnikatelského sektoru je v</w:t>
            </w:r>
            <w:r w:rsidR="003E574D">
              <w:rPr>
                <w:rFonts w:asciiTheme="minorHAnsi" w:hAnsiTheme="minorHAnsi"/>
                <w:sz w:val="22"/>
                <w:szCs w:val="22"/>
              </w:rPr>
              <w:t> </w:t>
            </w:r>
            <w:r w:rsidRPr="009E5DD7">
              <w:rPr>
                <w:rFonts w:asciiTheme="minorHAnsi" w:hAnsiTheme="minorHAnsi"/>
                <w:sz w:val="22"/>
                <w:szCs w:val="22"/>
              </w:rPr>
              <w:t xml:space="preserve">OP PIK alokováno celkem </w:t>
            </w:r>
            <w:r w:rsidR="00353CF2">
              <w:rPr>
                <w:rFonts w:asciiTheme="minorHAnsi" w:hAnsiTheme="minorHAnsi"/>
                <w:sz w:val="22"/>
                <w:szCs w:val="22"/>
              </w:rPr>
              <w:t>19,3</w:t>
            </w:r>
            <w:r w:rsidRPr="009E5DD7">
              <w:rPr>
                <w:rFonts w:asciiTheme="minorHAnsi" w:hAnsiTheme="minorHAnsi"/>
                <w:sz w:val="22"/>
                <w:szCs w:val="22"/>
              </w:rPr>
              <w:t xml:space="preserve"> mld. Kč. Podpora je směřována do celé řady aktivit generujících energetické úspory v</w:t>
            </w:r>
            <w:r>
              <w:rPr>
                <w:rFonts w:asciiTheme="minorHAnsi" w:hAnsiTheme="minorHAnsi"/>
                <w:sz w:val="22"/>
                <w:szCs w:val="22"/>
              </w:rPr>
              <w:t> </w:t>
            </w:r>
            <w:r w:rsidRPr="009E5DD7">
              <w:rPr>
                <w:rFonts w:asciiTheme="minorHAnsi" w:hAnsiTheme="minorHAnsi"/>
                <w:sz w:val="22"/>
                <w:szCs w:val="22"/>
              </w:rPr>
              <w:t>budovách podnikatelských subjektů a zvyšujících energetickou účinnost výrobních procesů. Zájem žadatelů je</w:t>
            </w:r>
            <w:r w:rsidR="00353CF2">
              <w:rPr>
                <w:rFonts w:asciiTheme="minorHAnsi" w:hAnsiTheme="minorHAnsi"/>
                <w:sz w:val="22"/>
                <w:szCs w:val="22"/>
              </w:rPr>
              <w:t xml:space="preserve"> však</w:t>
            </w:r>
            <w:r w:rsidRPr="009E5DD7">
              <w:rPr>
                <w:rFonts w:asciiTheme="minorHAnsi" w:hAnsiTheme="minorHAnsi"/>
                <w:sz w:val="22"/>
                <w:szCs w:val="22"/>
              </w:rPr>
              <w:t xml:space="preserve"> i v tomto programu relativně nízký. Na uplatnění inovativních nízkouhlíkových technologií a podporu využívání druhotných surovin je </w:t>
            </w:r>
            <w:r w:rsidR="003E574D">
              <w:rPr>
                <w:rFonts w:asciiTheme="minorHAnsi" w:hAnsiTheme="minorHAnsi"/>
                <w:sz w:val="22"/>
                <w:szCs w:val="22"/>
              </w:rPr>
              <w:t xml:space="preserve">v programu Nízkouhlíkové technologie </w:t>
            </w:r>
            <w:r w:rsidR="00353CF2">
              <w:rPr>
                <w:rFonts w:asciiTheme="minorHAnsi" w:hAnsiTheme="minorHAnsi"/>
                <w:sz w:val="22"/>
                <w:szCs w:val="22"/>
              </w:rPr>
              <w:t xml:space="preserve">OP PIK </w:t>
            </w:r>
            <w:r w:rsidRPr="009E5DD7">
              <w:rPr>
                <w:rFonts w:asciiTheme="minorHAnsi" w:hAnsiTheme="minorHAnsi"/>
                <w:sz w:val="22"/>
                <w:szCs w:val="22"/>
              </w:rPr>
              <w:t>alokován</w:t>
            </w:r>
            <w:r w:rsidR="003E574D">
              <w:rPr>
                <w:rFonts w:asciiTheme="minorHAnsi" w:hAnsiTheme="minorHAnsi"/>
                <w:sz w:val="22"/>
                <w:szCs w:val="22"/>
              </w:rPr>
              <w:t>a</w:t>
            </w:r>
            <w:r w:rsidRPr="009E5DD7">
              <w:rPr>
                <w:rFonts w:asciiTheme="minorHAnsi" w:hAnsiTheme="minorHAnsi"/>
                <w:sz w:val="22"/>
                <w:szCs w:val="22"/>
              </w:rPr>
              <w:t xml:space="preserve"> cca 1 mld. Kč. </w:t>
            </w:r>
            <w:r w:rsidR="00B75FE2">
              <w:rPr>
                <w:rFonts w:asciiTheme="minorHAnsi" w:hAnsiTheme="minorHAnsi"/>
                <w:sz w:val="22"/>
                <w:szCs w:val="22"/>
              </w:rPr>
              <w:t xml:space="preserve">O tento program byl značný zájem, a proto byla v roce 2018 navýšena alokace o další 1 mld. Kč z programu Smart </w:t>
            </w:r>
            <w:proofErr w:type="spellStart"/>
            <w:r w:rsidR="00B75FE2">
              <w:rPr>
                <w:rFonts w:asciiTheme="minorHAnsi" w:hAnsiTheme="minorHAnsi"/>
                <w:sz w:val="22"/>
                <w:szCs w:val="22"/>
              </w:rPr>
              <w:t>Grids</w:t>
            </w:r>
            <w:proofErr w:type="spellEnd"/>
            <w:r w:rsidR="00B75FE2">
              <w:rPr>
                <w:rFonts w:asciiTheme="minorHAnsi" w:hAnsiTheme="minorHAnsi"/>
                <w:sz w:val="22"/>
                <w:szCs w:val="22"/>
              </w:rPr>
              <w:t xml:space="preserve"> II, kde bylo zjištěno, že rozhodně nedojde k jejich využití. </w:t>
            </w:r>
            <w:r w:rsidRPr="009E5DD7">
              <w:rPr>
                <w:rFonts w:asciiTheme="minorHAnsi" w:hAnsiTheme="minorHAnsi"/>
                <w:sz w:val="22"/>
                <w:szCs w:val="22"/>
              </w:rPr>
              <w:t>Další prostředky jsou cílen</w:t>
            </w:r>
            <w:r w:rsidR="003E574D">
              <w:rPr>
                <w:rFonts w:asciiTheme="minorHAnsi" w:hAnsiTheme="minorHAnsi"/>
                <w:sz w:val="22"/>
                <w:szCs w:val="22"/>
              </w:rPr>
              <w:t>y</w:t>
            </w:r>
            <w:r w:rsidRPr="009E5DD7">
              <w:rPr>
                <w:rFonts w:asciiTheme="minorHAnsi" w:hAnsiTheme="minorHAnsi"/>
                <w:sz w:val="22"/>
                <w:szCs w:val="22"/>
              </w:rPr>
              <w:t xml:space="preserve"> na zvyšování účinnosti soustav zásobování teplem a</w:t>
            </w:r>
            <w:r>
              <w:rPr>
                <w:rFonts w:asciiTheme="minorHAnsi" w:hAnsiTheme="minorHAnsi"/>
                <w:sz w:val="22"/>
                <w:szCs w:val="22"/>
              </w:rPr>
              <w:t> </w:t>
            </w:r>
            <w:r w:rsidRPr="009E5DD7">
              <w:rPr>
                <w:rFonts w:asciiTheme="minorHAnsi" w:hAnsiTheme="minorHAnsi"/>
                <w:sz w:val="22"/>
                <w:szCs w:val="22"/>
              </w:rPr>
              <w:t>kombinovanou výrobu elektřiny a tepla</w:t>
            </w:r>
            <w:r w:rsidR="00B75FE2">
              <w:rPr>
                <w:rFonts w:asciiTheme="minorHAnsi" w:hAnsiTheme="minorHAnsi"/>
                <w:sz w:val="22"/>
                <w:szCs w:val="22"/>
              </w:rPr>
              <w:t>. O tento program je také velký zájem a v příštím roce se očekává vyčerpání přidělené alokace.</w:t>
            </w:r>
            <w:r w:rsidRPr="009E5DD7">
              <w:rPr>
                <w:rFonts w:asciiTheme="minorHAnsi" w:hAnsiTheme="minorHAnsi"/>
                <w:sz w:val="22"/>
                <w:szCs w:val="22"/>
              </w:rPr>
              <w:t xml:space="preserve"> </w:t>
            </w:r>
            <w:r w:rsidR="00B75FE2">
              <w:rPr>
                <w:rFonts w:asciiTheme="minorHAnsi" w:hAnsiTheme="minorHAnsi"/>
                <w:sz w:val="22"/>
                <w:szCs w:val="22"/>
              </w:rPr>
              <w:t xml:space="preserve">Program Smart </w:t>
            </w:r>
            <w:proofErr w:type="spellStart"/>
            <w:r w:rsidR="00B75FE2">
              <w:rPr>
                <w:rFonts w:asciiTheme="minorHAnsi" w:hAnsiTheme="minorHAnsi"/>
                <w:sz w:val="22"/>
                <w:szCs w:val="22"/>
              </w:rPr>
              <w:t>Grids</w:t>
            </w:r>
            <w:proofErr w:type="spellEnd"/>
            <w:r w:rsidR="00B75FE2">
              <w:rPr>
                <w:rFonts w:asciiTheme="minorHAnsi" w:hAnsiTheme="minorHAnsi"/>
                <w:sz w:val="22"/>
                <w:szCs w:val="22"/>
              </w:rPr>
              <w:t xml:space="preserve"> I zaměřený</w:t>
            </w:r>
            <w:r w:rsidR="003E574D">
              <w:rPr>
                <w:rFonts w:asciiTheme="minorHAnsi" w:hAnsiTheme="minorHAnsi"/>
                <w:sz w:val="22"/>
                <w:szCs w:val="22"/>
              </w:rPr>
              <w:t> </w:t>
            </w:r>
            <w:r w:rsidRPr="009E5DD7">
              <w:rPr>
                <w:rFonts w:asciiTheme="minorHAnsi" w:hAnsiTheme="minorHAnsi"/>
                <w:sz w:val="22"/>
                <w:szCs w:val="22"/>
              </w:rPr>
              <w:t>na zvýšení aplikace prvků inteligentních sítí v distribučních soustavách</w:t>
            </w:r>
            <w:r w:rsidR="00B75FE2" w:rsidRPr="00B75FE2">
              <w:rPr>
                <w:rFonts w:asciiTheme="minorHAnsi" w:hAnsiTheme="minorHAnsi"/>
                <w:sz w:val="22"/>
                <w:szCs w:val="22"/>
              </w:rPr>
              <w:t xml:space="preserve"> má velmi nízkou absorpční kapacitu</w:t>
            </w:r>
            <w:r w:rsidRPr="009E5DD7">
              <w:rPr>
                <w:rFonts w:asciiTheme="minorHAnsi" w:hAnsiTheme="minorHAnsi"/>
                <w:sz w:val="22"/>
                <w:szCs w:val="22"/>
              </w:rPr>
              <w:t>.</w:t>
            </w:r>
            <w:r>
              <w:rPr>
                <w:rFonts w:asciiTheme="minorHAnsi" w:hAnsiTheme="minorHAnsi"/>
                <w:sz w:val="22"/>
                <w:szCs w:val="22"/>
              </w:rPr>
              <w:t xml:space="preserve"> </w:t>
            </w:r>
            <w:r w:rsidRPr="009E5DD7">
              <w:rPr>
                <w:rFonts w:asciiTheme="minorHAnsi" w:hAnsiTheme="minorHAnsi"/>
                <w:sz w:val="22"/>
                <w:szCs w:val="22"/>
              </w:rPr>
              <w:t>Ve vazbě na naplňování cílů NAP EE došlo ze strany řídících orgánů k</w:t>
            </w:r>
            <w:r w:rsidR="00353CF2">
              <w:rPr>
                <w:rFonts w:asciiTheme="minorHAnsi" w:hAnsiTheme="minorHAnsi"/>
                <w:sz w:val="22"/>
                <w:szCs w:val="22"/>
              </w:rPr>
              <w:t> </w:t>
            </w:r>
            <w:r w:rsidRPr="009E5DD7">
              <w:rPr>
                <w:rFonts w:asciiTheme="minorHAnsi" w:hAnsiTheme="minorHAnsi"/>
                <w:sz w:val="22"/>
                <w:szCs w:val="22"/>
              </w:rPr>
              <w:t>změnám podmínek pro žadatele a</w:t>
            </w:r>
            <w:r>
              <w:rPr>
                <w:rFonts w:asciiTheme="minorHAnsi" w:hAnsiTheme="minorHAnsi"/>
                <w:sz w:val="22"/>
                <w:szCs w:val="22"/>
              </w:rPr>
              <w:t> </w:t>
            </w:r>
            <w:r w:rsidR="00353CF2">
              <w:rPr>
                <w:rFonts w:asciiTheme="minorHAnsi" w:hAnsiTheme="minorHAnsi"/>
                <w:sz w:val="22"/>
                <w:szCs w:val="22"/>
              </w:rPr>
              <w:t>také</w:t>
            </w:r>
            <w:r>
              <w:rPr>
                <w:rFonts w:asciiTheme="minorHAnsi" w:hAnsiTheme="minorHAnsi"/>
                <w:sz w:val="22"/>
                <w:szCs w:val="22"/>
              </w:rPr>
              <w:t> </w:t>
            </w:r>
            <w:r w:rsidRPr="009E5DD7">
              <w:rPr>
                <w:rFonts w:asciiTheme="minorHAnsi" w:hAnsiTheme="minorHAnsi"/>
                <w:sz w:val="22"/>
                <w:szCs w:val="22"/>
              </w:rPr>
              <w:t>samotných výzev s cílem nastavit je tak, aby bylo docíleno požadovaného efektu v oblasti energetické účinnosti. Postupně se v</w:t>
            </w:r>
            <w:r>
              <w:rPr>
                <w:rFonts w:asciiTheme="minorHAnsi" w:hAnsiTheme="minorHAnsi"/>
                <w:sz w:val="22"/>
                <w:szCs w:val="22"/>
              </w:rPr>
              <w:t> </w:t>
            </w:r>
            <w:r w:rsidRPr="009E5DD7">
              <w:rPr>
                <w:rFonts w:asciiTheme="minorHAnsi" w:hAnsiTheme="minorHAnsi"/>
                <w:sz w:val="22"/>
                <w:szCs w:val="22"/>
              </w:rPr>
              <w:t>průběhu roku 2017 v</w:t>
            </w:r>
            <w:r>
              <w:rPr>
                <w:rFonts w:asciiTheme="minorHAnsi" w:hAnsiTheme="minorHAnsi"/>
                <w:sz w:val="22"/>
                <w:szCs w:val="22"/>
              </w:rPr>
              <w:t> </w:t>
            </w:r>
            <w:r w:rsidRPr="009E5DD7">
              <w:rPr>
                <w:rFonts w:asciiTheme="minorHAnsi" w:hAnsiTheme="minorHAnsi"/>
                <w:sz w:val="22"/>
                <w:szCs w:val="22"/>
              </w:rPr>
              <w:t>jednotlivých programech podařilo odstranit některé bariéry, zejména administrativního charakteru, přičemž efekt některých změn a opatření je viditelný na počtu podaných žádostí v druhých a třetích výzvách jednotlivých programů. Některé bariéry však přetrvávají, přičemž část z</w:t>
            </w:r>
            <w:r>
              <w:rPr>
                <w:rFonts w:asciiTheme="minorHAnsi" w:hAnsiTheme="minorHAnsi"/>
                <w:sz w:val="22"/>
                <w:szCs w:val="22"/>
              </w:rPr>
              <w:t> </w:t>
            </w:r>
            <w:r w:rsidRPr="009E5DD7">
              <w:rPr>
                <w:rFonts w:asciiTheme="minorHAnsi" w:hAnsiTheme="minorHAnsi"/>
                <w:sz w:val="22"/>
                <w:szCs w:val="22"/>
              </w:rPr>
              <w:t xml:space="preserve">nich je zcela mimo možnost řešení ze strany řídicích orgánů, a to například </w:t>
            </w:r>
            <w:r w:rsidR="00353CF2">
              <w:rPr>
                <w:rFonts w:asciiTheme="minorHAnsi" w:hAnsiTheme="minorHAnsi"/>
                <w:sz w:val="22"/>
                <w:szCs w:val="22"/>
              </w:rPr>
              <w:t xml:space="preserve">stále </w:t>
            </w:r>
            <w:r w:rsidRPr="009E5DD7">
              <w:rPr>
                <w:rFonts w:asciiTheme="minorHAnsi" w:hAnsiTheme="minorHAnsi"/>
                <w:sz w:val="22"/>
                <w:szCs w:val="22"/>
              </w:rPr>
              <w:t>relativně nízké ceny energií způsobující delší návratnost investic do energetických úspor, a tedy menší zájem o</w:t>
            </w:r>
            <w:r>
              <w:rPr>
                <w:rFonts w:asciiTheme="minorHAnsi" w:hAnsiTheme="minorHAnsi"/>
                <w:sz w:val="22"/>
                <w:szCs w:val="22"/>
              </w:rPr>
              <w:t> </w:t>
            </w:r>
            <w:r w:rsidRPr="009E5DD7">
              <w:rPr>
                <w:rFonts w:asciiTheme="minorHAnsi" w:hAnsiTheme="minorHAnsi"/>
                <w:sz w:val="22"/>
                <w:szCs w:val="22"/>
              </w:rPr>
              <w:t>podporu.</w:t>
            </w:r>
          </w:p>
          <w:p w14:paraId="4453D9DA" w14:textId="35A8E7FB" w:rsidR="00B129ED" w:rsidRPr="00B129ED" w:rsidRDefault="00B129ED" w:rsidP="00E96371">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B129ED">
              <w:rPr>
                <w:rFonts w:asciiTheme="minorHAnsi" w:hAnsiTheme="minorHAnsi"/>
                <w:sz w:val="22"/>
                <w:szCs w:val="22"/>
              </w:rPr>
              <w:t xml:space="preserve">Každoročně </w:t>
            </w:r>
            <w:r w:rsidR="00043F9A">
              <w:rPr>
                <w:rFonts w:asciiTheme="minorHAnsi" w:hAnsiTheme="minorHAnsi"/>
                <w:sz w:val="22"/>
                <w:szCs w:val="22"/>
              </w:rPr>
              <w:t>byly</w:t>
            </w:r>
            <w:r w:rsidR="00C64468">
              <w:rPr>
                <w:rFonts w:asciiTheme="minorHAnsi" w:hAnsiTheme="minorHAnsi"/>
                <w:sz w:val="22"/>
                <w:szCs w:val="22"/>
              </w:rPr>
              <w:t xml:space="preserve"> do roku 2017</w:t>
            </w:r>
            <w:r w:rsidRPr="00B129ED">
              <w:rPr>
                <w:rFonts w:asciiTheme="minorHAnsi" w:hAnsiTheme="minorHAnsi"/>
                <w:sz w:val="22"/>
                <w:szCs w:val="22"/>
              </w:rPr>
              <w:t xml:space="preserve"> vyhlašovány výzvy z Programu rozvoje venkova na opatření 6.4.3 „Investice na podporu energie z obnovitelných zdrojů</w:t>
            </w:r>
            <w:r>
              <w:rPr>
                <w:rFonts w:asciiTheme="minorHAnsi" w:hAnsiTheme="minorHAnsi"/>
                <w:sz w:val="22"/>
                <w:szCs w:val="22"/>
              </w:rPr>
              <w:t>“</w:t>
            </w:r>
            <w:r w:rsidR="00043F9A" w:rsidRPr="00043F9A">
              <w:rPr>
                <w:rFonts w:asciiTheme="minorHAnsi" w:hAnsiTheme="minorHAnsi"/>
                <w:sz w:val="22"/>
                <w:szCs w:val="22"/>
              </w:rPr>
              <w:t xml:space="preserve">, v jehož rámci bylo podpořeno 20 projektů na výrobu pelet. Do budoucna bude podpora na výstavbu a modernizaci zařízení na výrobu tvarovaných biopaliv poskytována v rámci </w:t>
            </w:r>
            <w:r w:rsidR="00043F9A">
              <w:rPr>
                <w:rFonts w:asciiTheme="minorHAnsi" w:hAnsiTheme="minorHAnsi"/>
                <w:sz w:val="22"/>
                <w:szCs w:val="22"/>
              </w:rPr>
              <w:t xml:space="preserve">opatření </w:t>
            </w:r>
            <w:r w:rsidR="00043F9A" w:rsidRPr="00043F9A">
              <w:rPr>
                <w:rFonts w:asciiTheme="minorHAnsi" w:hAnsiTheme="minorHAnsi"/>
                <w:sz w:val="22"/>
                <w:szCs w:val="22"/>
              </w:rPr>
              <w:t>6.4.1 „Investice do nezemědělských činností“</w:t>
            </w:r>
            <w:r w:rsidRPr="00043F9A">
              <w:rPr>
                <w:rFonts w:asciiTheme="minorHAnsi" w:hAnsiTheme="minorHAnsi"/>
                <w:sz w:val="22"/>
                <w:szCs w:val="22"/>
              </w:rPr>
              <w:t xml:space="preserve">. </w:t>
            </w:r>
            <w:r w:rsidR="00C64468">
              <w:rPr>
                <w:rFonts w:asciiTheme="minorHAnsi" w:hAnsiTheme="minorHAnsi"/>
                <w:sz w:val="22"/>
                <w:szCs w:val="22"/>
              </w:rPr>
              <w:t>N</w:t>
            </w:r>
            <w:r w:rsidR="00C64468" w:rsidRPr="00B129ED">
              <w:rPr>
                <w:rFonts w:asciiTheme="minorHAnsi" w:hAnsiTheme="minorHAnsi"/>
                <w:sz w:val="22"/>
                <w:szCs w:val="22"/>
              </w:rPr>
              <w:t>ěkolik projektů se zaměřením na energetické využití biomasy</w:t>
            </w:r>
            <w:r w:rsidR="00C64468">
              <w:rPr>
                <w:rFonts w:asciiTheme="minorHAnsi" w:hAnsiTheme="minorHAnsi"/>
                <w:sz w:val="22"/>
                <w:szCs w:val="22"/>
              </w:rPr>
              <w:t xml:space="preserve"> je podporováno také</w:t>
            </w:r>
            <w:r w:rsidR="00C64468" w:rsidRPr="00B129ED">
              <w:rPr>
                <w:rFonts w:asciiTheme="minorHAnsi" w:hAnsiTheme="minorHAnsi"/>
                <w:sz w:val="22"/>
                <w:szCs w:val="22"/>
              </w:rPr>
              <w:t xml:space="preserve"> </w:t>
            </w:r>
            <w:r w:rsidR="00C64468">
              <w:rPr>
                <w:rFonts w:asciiTheme="minorHAnsi" w:hAnsiTheme="minorHAnsi"/>
                <w:sz w:val="22"/>
                <w:szCs w:val="22"/>
              </w:rPr>
              <w:t>v</w:t>
            </w:r>
            <w:r w:rsidRPr="00B129ED">
              <w:rPr>
                <w:rFonts w:asciiTheme="minorHAnsi" w:hAnsiTheme="minorHAnsi"/>
                <w:sz w:val="22"/>
                <w:szCs w:val="22"/>
              </w:rPr>
              <w:t xml:space="preserve"> rámci programu Komplexní udržitelné systémy</w:t>
            </w:r>
            <w:r w:rsidR="00043F9A">
              <w:rPr>
                <w:rFonts w:asciiTheme="minorHAnsi" w:hAnsiTheme="minorHAnsi"/>
                <w:sz w:val="22"/>
                <w:szCs w:val="22"/>
              </w:rPr>
              <w:t xml:space="preserve"> a </w:t>
            </w:r>
            <w:r w:rsidR="00C64468">
              <w:rPr>
                <w:rFonts w:asciiTheme="minorHAnsi" w:hAnsiTheme="minorHAnsi"/>
                <w:sz w:val="22"/>
                <w:szCs w:val="22"/>
              </w:rPr>
              <w:t xml:space="preserve">programu </w:t>
            </w:r>
            <w:r w:rsidR="00043F9A">
              <w:rPr>
                <w:rFonts w:asciiTheme="minorHAnsi" w:hAnsiTheme="minorHAnsi"/>
                <w:sz w:val="22"/>
                <w:szCs w:val="22"/>
              </w:rPr>
              <w:t>ZEMĚ</w:t>
            </w:r>
            <w:r w:rsidRPr="00B129ED">
              <w:rPr>
                <w:rFonts w:asciiTheme="minorHAnsi" w:hAnsiTheme="minorHAnsi"/>
                <w:sz w:val="22"/>
                <w:szCs w:val="22"/>
              </w:rPr>
              <w:t xml:space="preserve"> Národní agentury pro zemědělský </w:t>
            </w:r>
            <w:proofErr w:type="gramStart"/>
            <w:r w:rsidRPr="00B129ED">
              <w:rPr>
                <w:rFonts w:asciiTheme="minorHAnsi" w:hAnsiTheme="minorHAnsi"/>
                <w:sz w:val="22"/>
                <w:szCs w:val="22"/>
              </w:rPr>
              <w:t>výzkum .</w:t>
            </w:r>
            <w:proofErr w:type="gramEnd"/>
          </w:p>
          <w:p w14:paraId="2B604FE7" w14:textId="25D7B465" w:rsidR="000816BE" w:rsidRPr="00D732E0" w:rsidRDefault="009076FF" w:rsidP="00E96371">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9076FF">
              <w:rPr>
                <w:rFonts w:asciiTheme="minorHAnsi" w:hAnsiTheme="minorHAnsi"/>
                <w:sz w:val="22"/>
                <w:szCs w:val="22"/>
              </w:rPr>
              <w:t xml:space="preserve">Každoročně jsou vyhlašovány </w:t>
            </w:r>
            <w:r w:rsidR="00E96371">
              <w:rPr>
                <w:rFonts w:asciiTheme="minorHAnsi" w:hAnsiTheme="minorHAnsi"/>
                <w:sz w:val="22"/>
                <w:szCs w:val="22"/>
              </w:rPr>
              <w:t xml:space="preserve">i </w:t>
            </w:r>
            <w:r w:rsidRPr="009076FF">
              <w:rPr>
                <w:rFonts w:asciiTheme="minorHAnsi" w:hAnsiTheme="minorHAnsi"/>
                <w:sz w:val="22"/>
                <w:szCs w:val="22"/>
              </w:rPr>
              <w:t>výzvy z Programu LIFE</w:t>
            </w:r>
            <w:r w:rsidR="0072458E">
              <w:rPr>
                <w:rFonts w:asciiTheme="minorHAnsi" w:hAnsiTheme="minorHAnsi"/>
                <w:sz w:val="22"/>
                <w:szCs w:val="22"/>
              </w:rPr>
              <w:t xml:space="preserve"> (není financován z fondů EU, ale Evropskou komisí přímo z rozpočtu EU)</w:t>
            </w:r>
            <w:r w:rsidRPr="009076FF">
              <w:rPr>
                <w:rFonts w:asciiTheme="minorHAnsi" w:hAnsiTheme="minorHAnsi"/>
                <w:sz w:val="22"/>
                <w:szCs w:val="22"/>
              </w:rPr>
              <w:t xml:space="preserve">, v jehož rámci jsou podporovány inovativní projekty z oblasti ochrany ovzduší a klimatu, tedy např. z oblasti alternativních technologií v dopravě (vodíkové technologie, využití </w:t>
            </w:r>
            <w:proofErr w:type="spellStart"/>
            <w:r w:rsidRPr="009076FF">
              <w:rPr>
                <w:rFonts w:asciiTheme="minorHAnsi" w:hAnsiTheme="minorHAnsi"/>
                <w:sz w:val="22"/>
                <w:szCs w:val="22"/>
              </w:rPr>
              <w:t>biomet</w:t>
            </w:r>
            <w:r>
              <w:rPr>
                <w:rFonts w:asciiTheme="minorHAnsi" w:hAnsiTheme="minorHAnsi"/>
                <w:sz w:val="22"/>
                <w:szCs w:val="22"/>
              </w:rPr>
              <w:t>h</w:t>
            </w:r>
            <w:r w:rsidRPr="009076FF">
              <w:rPr>
                <w:rFonts w:asciiTheme="minorHAnsi" w:hAnsiTheme="minorHAnsi"/>
                <w:sz w:val="22"/>
                <w:szCs w:val="22"/>
              </w:rPr>
              <w:t>anu</w:t>
            </w:r>
            <w:proofErr w:type="spellEnd"/>
            <w:r w:rsidRPr="009076FF">
              <w:rPr>
                <w:rFonts w:asciiTheme="minorHAnsi" w:hAnsiTheme="minorHAnsi"/>
                <w:sz w:val="22"/>
                <w:szCs w:val="22"/>
              </w:rPr>
              <w:t xml:space="preserve"> v dopravě apod.).</w:t>
            </w:r>
          </w:p>
        </w:tc>
      </w:tr>
    </w:tbl>
    <w:p w14:paraId="1CC776E8" w14:textId="77777777" w:rsidR="00D732E0" w:rsidRDefault="00D732E0">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9076FF" w:rsidRPr="006B443D" w14:paraId="45D41AF8" w14:textId="77777777" w:rsidTr="002E4D72">
        <w:tc>
          <w:tcPr>
            <w:tcW w:w="833" w:type="pct"/>
            <w:shd w:val="clear" w:color="auto" w:fill="DBE5F1" w:themeFill="accent1" w:themeFillTint="33"/>
            <w:vAlign w:val="center"/>
          </w:tcPr>
          <w:p w14:paraId="2B29686A" w14:textId="77777777" w:rsidR="009076FF" w:rsidRPr="006B443D" w:rsidRDefault="009076FF" w:rsidP="00B2337B">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6E9784F2" w14:textId="77777777" w:rsidR="009076FF" w:rsidRPr="006B443D" w:rsidRDefault="009076FF" w:rsidP="00B2337B">
            <w:pPr>
              <w:keepNext/>
              <w:spacing w:before="120" w:after="120"/>
              <w:jc w:val="both"/>
              <w:rPr>
                <w:rFonts w:asciiTheme="minorHAnsi" w:hAnsiTheme="minorHAnsi"/>
                <w:b/>
                <w:sz w:val="22"/>
                <w:szCs w:val="22"/>
              </w:rPr>
            </w:pPr>
            <w:r>
              <w:rPr>
                <w:rFonts w:asciiTheme="minorHAnsi" w:hAnsiTheme="minorHAnsi"/>
                <w:b/>
                <w:sz w:val="22"/>
                <w:szCs w:val="22"/>
              </w:rPr>
              <w:t>P</w:t>
            </w:r>
            <w:r w:rsidRPr="004E3030">
              <w:rPr>
                <w:rFonts w:asciiTheme="minorHAnsi" w:hAnsiTheme="minorHAnsi"/>
                <w:b/>
                <w:sz w:val="22"/>
                <w:szCs w:val="22"/>
              </w:rPr>
              <w:t>římé programy podpor</w:t>
            </w:r>
          </w:p>
        </w:tc>
      </w:tr>
      <w:tr w:rsidR="009076FF" w:rsidRPr="006B443D" w14:paraId="343BF390" w14:textId="77777777" w:rsidTr="002E4D72">
        <w:tc>
          <w:tcPr>
            <w:tcW w:w="833" w:type="pct"/>
            <w:vAlign w:val="center"/>
          </w:tcPr>
          <w:p w14:paraId="751B7B06" w14:textId="77777777" w:rsidR="009076FF" w:rsidRPr="006B443D" w:rsidRDefault="009076FF" w:rsidP="002E4D72">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3A4B9AB4" w14:textId="77777777" w:rsidR="009076FF" w:rsidRPr="004E3030" w:rsidRDefault="009076FF" w:rsidP="009076FF">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4E3030">
              <w:rPr>
                <w:rFonts w:asciiTheme="minorHAnsi" w:hAnsiTheme="minorHAnsi"/>
                <w:sz w:val="22"/>
                <w:szCs w:val="22"/>
              </w:rPr>
              <w:t>Zvýšit několikanásobně objem prostředků na podpory úspor (program Efekt MPO) v dalších letech.</w:t>
            </w:r>
          </w:p>
          <w:p w14:paraId="017AB93F" w14:textId="77777777" w:rsidR="009076FF" w:rsidRPr="004E3030" w:rsidRDefault="009076FF" w:rsidP="009076FF">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4E3030">
              <w:rPr>
                <w:rFonts w:asciiTheme="minorHAnsi" w:hAnsiTheme="minorHAnsi"/>
                <w:sz w:val="22"/>
                <w:szCs w:val="22"/>
              </w:rPr>
              <w:t>Podpory přednostně směřovat do EPC projektů na finanční garance s vysokým pákovým efektem, na projekty typového charakteru s vysokou opakovatelností a možností úspor z rozsahu. Zaměřit se zejména na tyto oblasti:</w:t>
            </w:r>
          </w:p>
          <w:p w14:paraId="5C214ECC" w14:textId="6E6BD34C" w:rsidR="009076FF" w:rsidRPr="004E3030" w:rsidRDefault="009076FF" w:rsidP="009076FF">
            <w:pPr>
              <w:pStyle w:val="Odstavecseseznamem"/>
              <w:numPr>
                <w:ilvl w:val="0"/>
                <w:numId w:val="8"/>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4E3030">
              <w:rPr>
                <w:rFonts w:asciiTheme="minorHAnsi" w:hAnsiTheme="minorHAnsi"/>
                <w:sz w:val="22"/>
                <w:szCs w:val="22"/>
              </w:rPr>
              <w:t>Podpora zavádění energetického managementu ve veřejném a</w:t>
            </w:r>
            <w:r w:rsidR="002F1E7C">
              <w:rPr>
                <w:rFonts w:asciiTheme="minorHAnsi" w:hAnsiTheme="minorHAnsi"/>
                <w:sz w:val="22"/>
                <w:szCs w:val="22"/>
              </w:rPr>
              <w:t> </w:t>
            </w:r>
            <w:r w:rsidRPr="004E3030">
              <w:rPr>
                <w:rFonts w:asciiTheme="minorHAnsi" w:hAnsiTheme="minorHAnsi"/>
                <w:sz w:val="22"/>
                <w:szCs w:val="22"/>
              </w:rPr>
              <w:t>podnikatelském sektoru.</w:t>
            </w:r>
          </w:p>
          <w:p w14:paraId="04D8C8B2" w14:textId="77777777" w:rsidR="009076FF" w:rsidRPr="004E3030" w:rsidRDefault="009076FF" w:rsidP="009076FF">
            <w:pPr>
              <w:pStyle w:val="Odstavecseseznamem"/>
              <w:numPr>
                <w:ilvl w:val="0"/>
                <w:numId w:val="8"/>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4E3030">
              <w:rPr>
                <w:rFonts w:asciiTheme="minorHAnsi" w:hAnsiTheme="minorHAnsi"/>
                <w:sz w:val="22"/>
                <w:szCs w:val="22"/>
              </w:rPr>
              <w:t>Podpora rozvoje teplených čerpadel a jejich záměna za dosavadní přímotopné systémy a přímé</w:t>
            </w:r>
            <w:r>
              <w:rPr>
                <w:rFonts w:asciiTheme="minorHAnsi" w:hAnsiTheme="minorHAnsi"/>
                <w:sz w:val="22"/>
                <w:szCs w:val="22"/>
              </w:rPr>
              <w:t xml:space="preserve"> </w:t>
            </w:r>
            <w:r w:rsidRPr="004E3030">
              <w:rPr>
                <w:rFonts w:asciiTheme="minorHAnsi" w:hAnsiTheme="minorHAnsi"/>
                <w:sz w:val="22"/>
                <w:szCs w:val="22"/>
              </w:rPr>
              <w:t>spalování tuhých paliv.</w:t>
            </w:r>
          </w:p>
          <w:p w14:paraId="0B9818C7" w14:textId="77777777" w:rsidR="009076FF" w:rsidRPr="004E3030" w:rsidRDefault="009076FF" w:rsidP="009076FF">
            <w:pPr>
              <w:pStyle w:val="Odstavecseseznamem"/>
              <w:numPr>
                <w:ilvl w:val="0"/>
                <w:numId w:val="8"/>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4E3030">
              <w:rPr>
                <w:rFonts w:asciiTheme="minorHAnsi" w:hAnsiTheme="minorHAnsi"/>
                <w:sz w:val="22"/>
                <w:szCs w:val="22"/>
              </w:rPr>
              <w:t>Rekonstrukce veřejného osvětlení.</w:t>
            </w:r>
          </w:p>
          <w:p w14:paraId="64FB420A" w14:textId="77777777" w:rsidR="009076FF" w:rsidRPr="004E3030" w:rsidRDefault="009076FF" w:rsidP="009076FF">
            <w:pPr>
              <w:pStyle w:val="Odstavecseseznamem"/>
              <w:numPr>
                <w:ilvl w:val="0"/>
                <w:numId w:val="8"/>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4E3030">
              <w:rPr>
                <w:rFonts w:asciiTheme="minorHAnsi" w:hAnsiTheme="minorHAnsi"/>
                <w:sz w:val="22"/>
                <w:szCs w:val="22"/>
              </w:rPr>
              <w:t>Investiční podpora rekonstrukce soustav zásobování teplem.</w:t>
            </w:r>
          </w:p>
          <w:p w14:paraId="162158DF" w14:textId="77777777" w:rsidR="009076FF" w:rsidRPr="004E3030" w:rsidRDefault="009076FF" w:rsidP="009076FF">
            <w:pPr>
              <w:pStyle w:val="Odstavecseseznamem"/>
              <w:numPr>
                <w:ilvl w:val="0"/>
                <w:numId w:val="8"/>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Pr>
                <w:rFonts w:asciiTheme="minorHAnsi" w:hAnsiTheme="minorHAnsi"/>
                <w:sz w:val="22"/>
                <w:szCs w:val="22"/>
              </w:rPr>
              <w:lastRenderedPageBreak/>
              <w:t>I</w:t>
            </w:r>
            <w:r w:rsidRPr="004E3030">
              <w:rPr>
                <w:rFonts w:asciiTheme="minorHAnsi" w:hAnsiTheme="minorHAnsi"/>
                <w:sz w:val="22"/>
                <w:szCs w:val="22"/>
              </w:rPr>
              <w:t>nvestiční podpora energetického využívání odpadů v zařízeních k tomu určených.</w:t>
            </w:r>
          </w:p>
          <w:p w14:paraId="185B1152" w14:textId="77777777" w:rsidR="009076FF" w:rsidRPr="004E3030" w:rsidRDefault="009076FF" w:rsidP="009076FF">
            <w:pPr>
              <w:pStyle w:val="Odstavecseseznamem"/>
              <w:numPr>
                <w:ilvl w:val="0"/>
                <w:numId w:val="8"/>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4E3030">
              <w:rPr>
                <w:rFonts w:asciiTheme="minorHAnsi" w:hAnsiTheme="minorHAnsi"/>
                <w:sz w:val="22"/>
                <w:szCs w:val="22"/>
              </w:rPr>
              <w:t xml:space="preserve">Implementace inteligentních systémů v domácnostech s prokazatelným efektem na úspory a </w:t>
            </w:r>
            <w:r>
              <w:rPr>
                <w:rFonts w:asciiTheme="minorHAnsi" w:hAnsiTheme="minorHAnsi"/>
                <w:sz w:val="22"/>
                <w:szCs w:val="22"/>
              </w:rPr>
              <w:t>o</w:t>
            </w:r>
            <w:r w:rsidRPr="004E3030">
              <w:rPr>
                <w:rFonts w:asciiTheme="minorHAnsi" w:hAnsiTheme="minorHAnsi"/>
                <w:sz w:val="22"/>
                <w:szCs w:val="22"/>
              </w:rPr>
              <w:t>ptimalizaci rozložení spotřeby.</w:t>
            </w:r>
          </w:p>
          <w:p w14:paraId="78B43401" w14:textId="77777777" w:rsidR="009076FF" w:rsidRPr="006B443D" w:rsidRDefault="009076FF" w:rsidP="009076FF">
            <w:pPr>
              <w:pStyle w:val="Odstavecseseznamem"/>
              <w:numPr>
                <w:ilvl w:val="0"/>
                <w:numId w:val="8"/>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4E3030">
              <w:rPr>
                <w:rFonts w:asciiTheme="minorHAnsi" w:hAnsiTheme="minorHAnsi"/>
                <w:sz w:val="22"/>
                <w:szCs w:val="22"/>
              </w:rPr>
              <w:t>Podpora snižování energetické náročnosti budov.</w:t>
            </w:r>
          </w:p>
        </w:tc>
      </w:tr>
      <w:tr w:rsidR="009076FF" w:rsidRPr="006B443D" w14:paraId="50998A55" w14:textId="77777777" w:rsidTr="002E4D72">
        <w:tc>
          <w:tcPr>
            <w:tcW w:w="833" w:type="pct"/>
            <w:vAlign w:val="center"/>
          </w:tcPr>
          <w:p w14:paraId="7AFBB60C" w14:textId="77777777" w:rsidR="009076FF" w:rsidRPr="006B443D" w:rsidRDefault="009076FF" w:rsidP="002E4D72">
            <w:pPr>
              <w:jc w:val="center"/>
              <w:rPr>
                <w:rFonts w:asciiTheme="minorHAnsi" w:hAnsiTheme="minorHAnsi"/>
                <w:b/>
                <w:sz w:val="22"/>
                <w:szCs w:val="22"/>
              </w:rPr>
            </w:pPr>
            <w:r w:rsidRPr="006B443D">
              <w:rPr>
                <w:rFonts w:asciiTheme="minorHAnsi" w:hAnsiTheme="minorHAnsi"/>
                <w:b/>
                <w:sz w:val="22"/>
                <w:szCs w:val="22"/>
              </w:rPr>
              <w:lastRenderedPageBreak/>
              <w:t>Gesce</w:t>
            </w:r>
          </w:p>
        </w:tc>
        <w:tc>
          <w:tcPr>
            <w:tcW w:w="4167" w:type="pct"/>
            <w:vAlign w:val="center"/>
          </w:tcPr>
          <w:p w14:paraId="2583E94A" w14:textId="77777777" w:rsidR="009076FF" w:rsidRPr="006B443D" w:rsidRDefault="009076FF" w:rsidP="002E4D72">
            <w:pPr>
              <w:spacing w:before="120" w:after="120"/>
              <w:jc w:val="both"/>
              <w:rPr>
                <w:rFonts w:asciiTheme="minorHAnsi" w:hAnsiTheme="minorHAnsi"/>
                <w:sz w:val="22"/>
                <w:szCs w:val="22"/>
              </w:rPr>
            </w:pPr>
            <w:r>
              <w:rPr>
                <w:rFonts w:asciiTheme="minorHAnsi" w:hAnsiTheme="minorHAnsi"/>
                <w:sz w:val="22"/>
                <w:szCs w:val="22"/>
              </w:rPr>
              <w:t>MPO</w:t>
            </w:r>
          </w:p>
        </w:tc>
      </w:tr>
      <w:tr w:rsidR="009076FF" w:rsidRPr="006B443D" w14:paraId="04511166" w14:textId="77777777" w:rsidTr="002E4D72">
        <w:tc>
          <w:tcPr>
            <w:tcW w:w="833" w:type="pct"/>
            <w:vAlign w:val="center"/>
          </w:tcPr>
          <w:p w14:paraId="2D5CBF8A" w14:textId="77777777" w:rsidR="009076FF" w:rsidRPr="006B443D" w:rsidRDefault="009076FF" w:rsidP="002E4D72">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5A2CD0BF" w14:textId="77777777" w:rsidR="009076FF" w:rsidRPr="006B443D" w:rsidRDefault="009076FF" w:rsidP="002E4D72">
            <w:pPr>
              <w:spacing w:before="120" w:after="120"/>
              <w:jc w:val="both"/>
              <w:rPr>
                <w:rFonts w:asciiTheme="minorHAnsi" w:hAnsiTheme="minorHAnsi"/>
                <w:sz w:val="22"/>
                <w:szCs w:val="22"/>
              </w:rPr>
            </w:pPr>
            <w:r w:rsidRPr="004E3030">
              <w:rPr>
                <w:rFonts w:asciiTheme="minorHAnsi" w:hAnsiTheme="minorHAnsi"/>
                <w:sz w:val="22"/>
                <w:szCs w:val="22"/>
              </w:rPr>
              <w:t>do 31. 12. 2014, dále průběžně</w:t>
            </w:r>
          </w:p>
        </w:tc>
      </w:tr>
      <w:tr w:rsidR="009076FF" w:rsidRPr="006B443D" w14:paraId="321E9481" w14:textId="77777777" w:rsidTr="00323AE1">
        <w:trPr>
          <w:cantSplit/>
        </w:trPr>
        <w:tc>
          <w:tcPr>
            <w:tcW w:w="833" w:type="pct"/>
            <w:vAlign w:val="center"/>
          </w:tcPr>
          <w:p w14:paraId="351519A6" w14:textId="77777777" w:rsidR="009076FF" w:rsidRPr="006B443D" w:rsidRDefault="009076FF" w:rsidP="002E4D72">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0585B380" w14:textId="64700397" w:rsidR="009076FF" w:rsidRPr="00B0505A" w:rsidRDefault="009076FF" w:rsidP="002E4D72">
            <w:pPr>
              <w:overflowPunct w:val="0"/>
              <w:autoSpaceDE w:val="0"/>
              <w:autoSpaceDN w:val="0"/>
              <w:adjustRightInd w:val="0"/>
              <w:spacing w:before="120" w:after="120"/>
              <w:jc w:val="both"/>
              <w:textAlignment w:val="baseline"/>
              <w:rPr>
                <w:rFonts w:asciiTheme="minorHAnsi" w:hAnsiTheme="minorHAnsi"/>
                <w:b/>
                <w:sz w:val="22"/>
                <w:szCs w:val="22"/>
              </w:rPr>
            </w:pPr>
            <w:r w:rsidRPr="00B0505A">
              <w:rPr>
                <w:rFonts w:asciiTheme="minorHAnsi" w:hAnsiTheme="minorHAnsi"/>
                <w:b/>
                <w:sz w:val="22"/>
                <w:szCs w:val="22"/>
              </w:rPr>
              <w:t>Splněno + plněno průběžně</w:t>
            </w:r>
          </w:p>
          <w:p w14:paraId="7543DFD5" w14:textId="1597BD1B" w:rsidR="009076FF" w:rsidRPr="00B0505A" w:rsidRDefault="009076FF" w:rsidP="009076FF">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831845">
              <w:rPr>
                <w:rFonts w:asciiTheme="minorHAnsi" w:hAnsiTheme="minorHAnsi"/>
                <w:sz w:val="22"/>
                <w:szCs w:val="22"/>
              </w:rPr>
              <w:t xml:space="preserve">Pro rok 2016 bylo schváleno a uplatněno znění Státního programu na podporu </w:t>
            </w:r>
            <w:r w:rsidRPr="00B0505A">
              <w:rPr>
                <w:rFonts w:asciiTheme="minorHAnsi" w:hAnsiTheme="minorHAnsi"/>
                <w:sz w:val="22"/>
                <w:szCs w:val="22"/>
              </w:rPr>
              <w:t>úspor energie a využití obnovitelných a druhotných zdrojů energie (</w:t>
            </w:r>
            <w:r w:rsidR="00B0505A">
              <w:rPr>
                <w:rFonts w:asciiTheme="minorHAnsi" w:hAnsiTheme="minorHAnsi"/>
                <w:sz w:val="22"/>
                <w:szCs w:val="22"/>
              </w:rPr>
              <w:t xml:space="preserve">tzv. </w:t>
            </w:r>
            <w:r w:rsidR="00831845">
              <w:rPr>
                <w:rFonts w:asciiTheme="minorHAnsi" w:hAnsiTheme="minorHAnsi"/>
                <w:sz w:val="22"/>
                <w:szCs w:val="22"/>
              </w:rPr>
              <w:t>p</w:t>
            </w:r>
            <w:r w:rsidR="00B0505A">
              <w:rPr>
                <w:rFonts w:asciiTheme="minorHAnsi" w:hAnsiTheme="minorHAnsi"/>
                <w:sz w:val="22"/>
                <w:szCs w:val="22"/>
              </w:rPr>
              <w:t xml:space="preserve">rogram </w:t>
            </w:r>
            <w:r w:rsidRPr="00B0505A">
              <w:rPr>
                <w:rFonts w:asciiTheme="minorHAnsi" w:hAnsiTheme="minorHAnsi"/>
                <w:sz w:val="22"/>
                <w:szCs w:val="22"/>
              </w:rPr>
              <w:t>EFEKT) s</w:t>
            </w:r>
            <w:r w:rsidR="002F1E7C" w:rsidRPr="00B0505A">
              <w:rPr>
                <w:rFonts w:asciiTheme="minorHAnsi" w:hAnsiTheme="minorHAnsi"/>
                <w:sz w:val="22"/>
                <w:szCs w:val="22"/>
              </w:rPr>
              <w:t> </w:t>
            </w:r>
            <w:r w:rsidRPr="00B0505A">
              <w:rPr>
                <w:rFonts w:asciiTheme="minorHAnsi" w:hAnsiTheme="minorHAnsi"/>
                <w:sz w:val="22"/>
                <w:szCs w:val="22"/>
              </w:rPr>
              <w:t>navýšením rozpočtu z 30 mil. Kč na 80 mil. Kč. V rámci tohoto navýšení byly posíleny aktivity „Komplexní opatření ke snížení energetické náročnosti veřejného osvětlení“ a „Posouzení vhodnosti energeticky úsporných projektů řešených metodou EPC“, byla přidána nová investiční aktivita „Energeticky úsporná opatření v budovách řešená metodou EPC“ a dvě neinvestiční aktivity jako pomoc krajům a motivace pro statutární města na zpracování územních energetických koncepcí a zpráv o jejich uplatňování.</w:t>
            </w:r>
          </w:p>
          <w:p w14:paraId="4141C1A1" w14:textId="0FBA0B77" w:rsidR="00150987" w:rsidRPr="00230EBC" w:rsidRDefault="00B0505A" w:rsidP="00230EBC">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2C671F">
              <w:rPr>
                <w:rFonts w:asciiTheme="minorHAnsi" w:hAnsiTheme="minorHAnsi"/>
                <w:sz w:val="22"/>
                <w:szCs w:val="22"/>
              </w:rPr>
              <w:t>Během roku 2016 byla připravena programová dokumentace nového programu s názvem Státní program na podporu úspor energie na období 2017-2021 (</w:t>
            </w:r>
            <w:r w:rsidR="00831845" w:rsidRPr="002C671F">
              <w:rPr>
                <w:rFonts w:asciiTheme="minorHAnsi" w:hAnsiTheme="minorHAnsi"/>
                <w:sz w:val="22"/>
                <w:szCs w:val="22"/>
              </w:rPr>
              <w:t>tzv. p</w:t>
            </w:r>
            <w:r w:rsidRPr="002C671F">
              <w:rPr>
                <w:rFonts w:asciiTheme="minorHAnsi" w:hAnsiTheme="minorHAnsi"/>
                <w:sz w:val="22"/>
                <w:szCs w:val="22"/>
              </w:rPr>
              <w:t>rogram EFEKT 2). Programová dokumentace byla dále, v říjnu 2016, schválena Ministerstvem financí ČR s r</w:t>
            </w:r>
            <w:r w:rsidR="00831845" w:rsidRPr="002C671F">
              <w:rPr>
                <w:rFonts w:asciiTheme="minorHAnsi" w:hAnsiTheme="minorHAnsi"/>
                <w:sz w:val="22"/>
                <w:szCs w:val="22"/>
              </w:rPr>
              <w:t>ozpočtem programu ve výši maximá</w:t>
            </w:r>
            <w:r w:rsidRPr="002C671F">
              <w:rPr>
                <w:rFonts w:asciiTheme="minorHAnsi" w:hAnsiTheme="minorHAnsi"/>
                <w:sz w:val="22"/>
                <w:szCs w:val="22"/>
              </w:rPr>
              <w:t>lně 750 mil. Kč na celé programové období, tj. maximálně</w:t>
            </w:r>
            <w:r w:rsidR="00831845" w:rsidRPr="002C671F">
              <w:rPr>
                <w:rFonts w:asciiTheme="minorHAnsi" w:hAnsiTheme="minorHAnsi"/>
                <w:sz w:val="22"/>
                <w:szCs w:val="22"/>
              </w:rPr>
              <w:t xml:space="preserve"> 150 mil. Kč ročně, díky čemuž </w:t>
            </w:r>
            <w:r w:rsidRPr="002C671F">
              <w:rPr>
                <w:rFonts w:asciiTheme="minorHAnsi" w:hAnsiTheme="minorHAnsi"/>
                <w:sz w:val="22"/>
                <w:szCs w:val="22"/>
              </w:rPr>
              <w:t>došlo k</w:t>
            </w:r>
            <w:r w:rsidR="00831845" w:rsidRPr="002C671F">
              <w:rPr>
                <w:rFonts w:asciiTheme="minorHAnsi" w:hAnsiTheme="minorHAnsi"/>
                <w:sz w:val="22"/>
                <w:szCs w:val="22"/>
              </w:rPr>
              <w:t> </w:t>
            </w:r>
            <w:r w:rsidRPr="002C671F">
              <w:rPr>
                <w:rFonts w:asciiTheme="minorHAnsi" w:hAnsiTheme="minorHAnsi"/>
                <w:sz w:val="22"/>
                <w:szCs w:val="22"/>
              </w:rPr>
              <w:t>výraznému</w:t>
            </w:r>
            <w:r w:rsidR="00831845" w:rsidRPr="002C671F">
              <w:rPr>
                <w:rFonts w:asciiTheme="minorHAnsi" w:hAnsiTheme="minorHAnsi"/>
                <w:sz w:val="22"/>
                <w:szCs w:val="22"/>
              </w:rPr>
              <w:t xml:space="preserve"> </w:t>
            </w:r>
            <w:r w:rsidRPr="002C671F">
              <w:rPr>
                <w:rFonts w:asciiTheme="minorHAnsi" w:hAnsiTheme="minorHAnsi"/>
                <w:sz w:val="22"/>
                <w:szCs w:val="22"/>
              </w:rPr>
              <w:t>navýšení rozpočtu oproti předcházejícímu programu EFEKT.</w:t>
            </w:r>
            <w:r w:rsidR="002C671F">
              <w:rPr>
                <w:rFonts w:asciiTheme="minorHAnsi" w:hAnsiTheme="minorHAnsi"/>
                <w:sz w:val="22"/>
                <w:szCs w:val="22"/>
              </w:rPr>
              <w:t xml:space="preserve"> </w:t>
            </w:r>
            <w:r w:rsidRPr="002C671F">
              <w:rPr>
                <w:rFonts w:asciiTheme="minorHAnsi" w:hAnsiTheme="minorHAnsi"/>
                <w:sz w:val="22"/>
                <w:szCs w:val="22"/>
              </w:rPr>
              <w:t xml:space="preserve">V roce 2017 byl </w:t>
            </w:r>
            <w:r w:rsidR="002C671F">
              <w:rPr>
                <w:rFonts w:asciiTheme="minorHAnsi" w:hAnsiTheme="minorHAnsi"/>
                <w:sz w:val="22"/>
                <w:szCs w:val="22"/>
              </w:rPr>
              <w:t xml:space="preserve">tento </w:t>
            </w:r>
            <w:r w:rsidRPr="002C671F">
              <w:rPr>
                <w:rFonts w:asciiTheme="minorHAnsi" w:hAnsiTheme="minorHAnsi"/>
                <w:sz w:val="22"/>
                <w:szCs w:val="22"/>
              </w:rPr>
              <w:t>program zaměřen především na</w:t>
            </w:r>
            <w:r w:rsidR="002C671F">
              <w:rPr>
                <w:rFonts w:asciiTheme="minorHAnsi" w:hAnsiTheme="minorHAnsi"/>
                <w:sz w:val="22"/>
                <w:szCs w:val="22"/>
              </w:rPr>
              <w:t xml:space="preserve"> investiční podporu</w:t>
            </w:r>
            <w:r w:rsidRPr="002C671F">
              <w:rPr>
                <w:rFonts w:asciiTheme="minorHAnsi" w:hAnsiTheme="minorHAnsi"/>
                <w:sz w:val="22"/>
                <w:szCs w:val="22"/>
              </w:rPr>
              <w:t xml:space="preserve"> rekonstr</w:t>
            </w:r>
            <w:r w:rsidR="002C671F">
              <w:rPr>
                <w:rFonts w:asciiTheme="minorHAnsi" w:hAnsiTheme="minorHAnsi"/>
                <w:sz w:val="22"/>
                <w:szCs w:val="22"/>
              </w:rPr>
              <w:t>ukce</w:t>
            </w:r>
            <w:r w:rsidRPr="002C671F">
              <w:rPr>
                <w:rFonts w:asciiTheme="minorHAnsi" w:hAnsiTheme="minorHAnsi"/>
                <w:sz w:val="22"/>
                <w:szCs w:val="22"/>
              </w:rPr>
              <w:t xml:space="preserve"> veřejného osvětlení</w:t>
            </w:r>
            <w:r w:rsidR="002C671F">
              <w:rPr>
                <w:rFonts w:asciiTheme="minorHAnsi" w:hAnsiTheme="minorHAnsi"/>
                <w:sz w:val="22"/>
                <w:szCs w:val="22"/>
              </w:rPr>
              <w:t xml:space="preserve"> a dále pak na neinvestiční </w:t>
            </w:r>
            <w:r w:rsidR="00831845" w:rsidRPr="002C671F">
              <w:rPr>
                <w:rFonts w:asciiTheme="minorHAnsi" w:hAnsiTheme="minorHAnsi"/>
                <w:sz w:val="22"/>
                <w:szCs w:val="22"/>
              </w:rPr>
              <w:t>podporu zavádění</w:t>
            </w:r>
            <w:r w:rsidRPr="002C671F">
              <w:rPr>
                <w:rFonts w:asciiTheme="minorHAnsi" w:hAnsiTheme="minorHAnsi"/>
                <w:sz w:val="22"/>
                <w:szCs w:val="22"/>
              </w:rPr>
              <w:t xml:space="preserve"> energetick</w:t>
            </w:r>
            <w:r w:rsidR="00831845" w:rsidRPr="002C671F">
              <w:rPr>
                <w:rFonts w:asciiTheme="minorHAnsi" w:hAnsiTheme="minorHAnsi"/>
                <w:sz w:val="22"/>
                <w:szCs w:val="22"/>
              </w:rPr>
              <w:t>ého</w:t>
            </w:r>
            <w:r w:rsidRPr="002C671F">
              <w:rPr>
                <w:rFonts w:asciiTheme="minorHAnsi" w:hAnsiTheme="minorHAnsi"/>
                <w:sz w:val="22"/>
                <w:szCs w:val="22"/>
              </w:rPr>
              <w:t xml:space="preserve"> management</w:t>
            </w:r>
            <w:r w:rsidR="00831845" w:rsidRPr="002C671F">
              <w:rPr>
                <w:rFonts w:asciiTheme="minorHAnsi" w:hAnsiTheme="minorHAnsi"/>
                <w:sz w:val="22"/>
                <w:szCs w:val="22"/>
              </w:rPr>
              <w:t>u</w:t>
            </w:r>
            <w:r w:rsidRPr="002C671F">
              <w:rPr>
                <w:rFonts w:asciiTheme="minorHAnsi" w:hAnsiTheme="minorHAnsi"/>
                <w:sz w:val="22"/>
                <w:szCs w:val="22"/>
              </w:rPr>
              <w:t xml:space="preserve"> ve veřejném a podnikatelském sektoru.</w:t>
            </w:r>
            <w:r w:rsidR="002C671F">
              <w:rPr>
                <w:rFonts w:asciiTheme="minorHAnsi" w:hAnsiTheme="minorHAnsi"/>
                <w:sz w:val="22"/>
                <w:szCs w:val="22"/>
              </w:rPr>
              <w:t xml:space="preserve"> </w:t>
            </w:r>
            <w:r w:rsidR="00230EBC">
              <w:rPr>
                <w:rFonts w:asciiTheme="minorHAnsi" w:hAnsiTheme="minorHAnsi"/>
                <w:sz w:val="22"/>
                <w:szCs w:val="22"/>
              </w:rPr>
              <w:t>V roce 2018 byla k těmto podporám zavedena nově i neinvestiční podpora v oblasti „Příprava realizace kvalitních energeticky úsporných projektů se zásadami dobré praxe“</w:t>
            </w:r>
            <w:r w:rsidR="00150987" w:rsidRPr="00230EBC">
              <w:rPr>
                <w:rFonts w:asciiTheme="minorHAnsi" w:hAnsiTheme="minorHAnsi"/>
                <w:sz w:val="22"/>
                <w:szCs w:val="22"/>
              </w:rPr>
              <w:t>, která je zaměřena na komplexní posouzení bu</w:t>
            </w:r>
            <w:r w:rsidR="00230EBC">
              <w:rPr>
                <w:rFonts w:asciiTheme="minorHAnsi" w:hAnsiTheme="minorHAnsi"/>
                <w:sz w:val="22"/>
                <w:szCs w:val="22"/>
              </w:rPr>
              <w:t>dovy a výběr kombinace opatření s cílem</w:t>
            </w:r>
            <w:r w:rsidR="00150987" w:rsidRPr="00230EBC">
              <w:rPr>
                <w:rFonts w:asciiTheme="minorHAnsi" w:hAnsiTheme="minorHAnsi"/>
                <w:sz w:val="22"/>
                <w:szCs w:val="22"/>
              </w:rPr>
              <w:t xml:space="preserve"> </w:t>
            </w:r>
            <w:r w:rsidR="00230EBC">
              <w:rPr>
                <w:rFonts w:asciiTheme="minorHAnsi" w:hAnsiTheme="minorHAnsi"/>
                <w:sz w:val="22"/>
                <w:szCs w:val="22"/>
              </w:rPr>
              <w:t xml:space="preserve">přinést </w:t>
            </w:r>
            <w:r w:rsidR="00150987" w:rsidRPr="00230EBC">
              <w:rPr>
                <w:rFonts w:asciiTheme="minorHAnsi" w:hAnsiTheme="minorHAnsi"/>
                <w:sz w:val="22"/>
                <w:szCs w:val="22"/>
              </w:rPr>
              <w:t xml:space="preserve">investorovi </w:t>
            </w:r>
            <w:r w:rsidR="00230EBC">
              <w:rPr>
                <w:rFonts w:asciiTheme="minorHAnsi" w:hAnsiTheme="minorHAnsi"/>
                <w:sz w:val="22"/>
                <w:szCs w:val="22"/>
              </w:rPr>
              <w:t xml:space="preserve">co možná </w:t>
            </w:r>
            <w:r w:rsidR="00150987" w:rsidRPr="00230EBC">
              <w:rPr>
                <w:rFonts w:asciiTheme="minorHAnsi" w:hAnsiTheme="minorHAnsi"/>
                <w:sz w:val="22"/>
                <w:szCs w:val="22"/>
              </w:rPr>
              <w:t>nejvyšší</w:t>
            </w:r>
            <w:r w:rsidR="00230EBC">
              <w:rPr>
                <w:rFonts w:asciiTheme="minorHAnsi" w:hAnsiTheme="minorHAnsi"/>
                <w:sz w:val="22"/>
                <w:szCs w:val="22"/>
              </w:rPr>
              <w:t xml:space="preserve"> dosažitelnou </w:t>
            </w:r>
            <w:r w:rsidR="00150987" w:rsidRPr="00230EBC">
              <w:rPr>
                <w:rFonts w:asciiTheme="minorHAnsi" w:hAnsiTheme="minorHAnsi"/>
                <w:sz w:val="22"/>
                <w:szCs w:val="22"/>
              </w:rPr>
              <w:t>úsporu energie a finančních nákladů na provoz.</w:t>
            </w:r>
          </w:p>
          <w:p w14:paraId="47EEE045" w14:textId="24A02992" w:rsidR="00150987" w:rsidRPr="00831845" w:rsidRDefault="00150987" w:rsidP="00230EBC">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 xml:space="preserve">V roce 2016 byl </w:t>
            </w:r>
            <w:r w:rsidR="00230EBC">
              <w:rPr>
                <w:rFonts w:asciiTheme="minorHAnsi" w:hAnsiTheme="minorHAnsi"/>
                <w:sz w:val="22"/>
                <w:szCs w:val="22"/>
              </w:rPr>
              <w:t xml:space="preserve">rovněž </w:t>
            </w:r>
            <w:r>
              <w:rPr>
                <w:rFonts w:asciiTheme="minorHAnsi" w:hAnsiTheme="minorHAnsi"/>
                <w:sz w:val="22"/>
                <w:szCs w:val="22"/>
              </w:rPr>
              <w:t xml:space="preserve">schválen </w:t>
            </w:r>
            <w:r w:rsidR="00230EBC">
              <w:rPr>
                <w:rFonts w:asciiTheme="minorHAnsi" w:hAnsiTheme="minorHAnsi"/>
                <w:sz w:val="22"/>
                <w:szCs w:val="22"/>
              </w:rPr>
              <w:t>P</w:t>
            </w:r>
            <w:r>
              <w:rPr>
                <w:rFonts w:asciiTheme="minorHAnsi" w:hAnsiTheme="minorHAnsi"/>
                <w:sz w:val="22"/>
                <w:szCs w:val="22"/>
              </w:rPr>
              <w:t xml:space="preserve">rogram ENERG </w:t>
            </w:r>
            <w:r w:rsidRPr="009814C1">
              <w:rPr>
                <w:rFonts w:asciiTheme="minorHAnsi" w:hAnsiTheme="minorHAnsi"/>
                <w:bCs/>
                <w:sz w:val="22"/>
                <w:szCs w:val="22"/>
              </w:rPr>
              <w:t xml:space="preserve">k financování energeticky úsporných projektů v podnikatelském sektoru na území </w:t>
            </w:r>
            <w:r w:rsidR="00230EBC">
              <w:rPr>
                <w:rFonts w:asciiTheme="minorHAnsi" w:hAnsiTheme="minorHAnsi"/>
                <w:bCs/>
                <w:sz w:val="22"/>
                <w:szCs w:val="22"/>
              </w:rPr>
              <w:t>Hlavního města</w:t>
            </w:r>
            <w:r w:rsidRPr="009814C1">
              <w:rPr>
                <w:rFonts w:asciiTheme="minorHAnsi" w:hAnsiTheme="minorHAnsi"/>
                <w:bCs/>
                <w:sz w:val="22"/>
                <w:szCs w:val="22"/>
              </w:rPr>
              <w:t xml:space="preserve"> Prahy</w:t>
            </w:r>
            <w:r w:rsidR="00230EBC">
              <w:rPr>
                <w:rFonts w:asciiTheme="minorHAnsi" w:hAnsiTheme="minorHAnsi"/>
                <w:bCs/>
                <w:sz w:val="22"/>
                <w:szCs w:val="22"/>
              </w:rPr>
              <w:t>, který je</w:t>
            </w:r>
            <w:r w:rsidRPr="009814C1">
              <w:rPr>
                <w:rFonts w:asciiTheme="minorHAnsi" w:hAnsiTheme="minorHAnsi"/>
                <w:bCs/>
                <w:sz w:val="22"/>
                <w:szCs w:val="22"/>
              </w:rPr>
              <w:t xml:space="preserve"> jedním z pilotních programů využívající finančních nástrojů, konkrétně zvýhodněného úvěru</w:t>
            </w:r>
            <w:r>
              <w:rPr>
                <w:rFonts w:asciiTheme="minorHAnsi" w:hAnsiTheme="minorHAnsi"/>
                <w:bCs/>
                <w:sz w:val="22"/>
                <w:szCs w:val="22"/>
              </w:rPr>
              <w:t xml:space="preserve"> s finančním příspěvkem</w:t>
            </w:r>
            <w:r w:rsidR="00230EBC">
              <w:rPr>
                <w:rFonts w:asciiTheme="minorHAnsi" w:hAnsiTheme="minorHAnsi"/>
                <w:bCs/>
                <w:sz w:val="22"/>
                <w:szCs w:val="22"/>
              </w:rPr>
              <w:t xml:space="preserve"> a který</w:t>
            </w:r>
            <w:r w:rsidRPr="009814C1">
              <w:rPr>
                <w:rFonts w:asciiTheme="minorHAnsi" w:hAnsiTheme="minorHAnsi"/>
                <w:bCs/>
                <w:sz w:val="22"/>
                <w:szCs w:val="22"/>
              </w:rPr>
              <w:t xml:space="preserve"> je financován z výnosu z prodeje emisních povolenek za rok 2014. Finanční prostředky pro program ENERG byly převedeny do správy Českomoravské záruční a rozvojové banky</w:t>
            </w:r>
            <w:r>
              <w:rPr>
                <w:rFonts w:asciiTheme="minorHAnsi" w:hAnsiTheme="minorHAnsi"/>
                <w:bCs/>
                <w:sz w:val="22"/>
                <w:szCs w:val="22"/>
              </w:rPr>
              <w:t>, k</w:t>
            </w:r>
            <w:r w:rsidRPr="009814C1">
              <w:rPr>
                <w:rFonts w:asciiTheme="minorHAnsi" w:hAnsiTheme="minorHAnsi"/>
                <w:bCs/>
                <w:sz w:val="22"/>
                <w:szCs w:val="22"/>
              </w:rPr>
              <w:t>terá program administrativně zajišťuje a finančně vypořádává.</w:t>
            </w:r>
            <w:r>
              <w:rPr>
                <w:rFonts w:asciiTheme="minorHAnsi" w:hAnsiTheme="minorHAnsi"/>
                <w:bCs/>
                <w:sz w:val="22"/>
                <w:szCs w:val="22"/>
              </w:rPr>
              <w:t xml:space="preserve"> </w:t>
            </w:r>
            <w:r w:rsidR="00230EBC">
              <w:rPr>
                <w:rFonts w:asciiTheme="minorHAnsi" w:hAnsiTheme="minorHAnsi"/>
                <w:bCs/>
                <w:sz w:val="22"/>
                <w:szCs w:val="22"/>
              </w:rPr>
              <w:t xml:space="preserve">První výzva pro předkládání projektů byla vyhlášena v </w:t>
            </w:r>
            <w:r>
              <w:rPr>
                <w:rFonts w:asciiTheme="minorHAnsi" w:hAnsiTheme="minorHAnsi"/>
                <w:bCs/>
                <w:sz w:val="22"/>
                <w:szCs w:val="22"/>
              </w:rPr>
              <w:t xml:space="preserve">červnu 2017 </w:t>
            </w:r>
            <w:r w:rsidR="00230EBC">
              <w:rPr>
                <w:rFonts w:asciiTheme="minorHAnsi" w:hAnsiTheme="minorHAnsi"/>
                <w:bCs/>
                <w:sz w:val="22"/>
                <w:szCs w:val="22"/>
              </w:rPr>
              <w:t>a druhá výzva následně v září 2018</w:t>
            </w:r>
            <w:r>
              <w:rPr>
                <w:rFonts w:asciiTheme="minorHAnsi" w:hAnsiTheme="minorHAnsi"/>
                <w:bCs/>
                <w:sz w:val="22"/>
                <w:szCs w:val="22"/>
              </w:rPr>
              <w:t>.</w:t>
            </w:r>
          </w:p>
        </w:tc>
      </w:tr>
    </w:tbl>
    <w:p w14:paraId="5A33DFBF" w14:textId="41D881A6" w:rsidR="00D732E0" w:rsidRPr="000B6057" w:rsidRDefault="00D732E0" w:rsidP="006E05C2">
      <w:pPr>
        <w:pStyle w:val="Nadpis2"/>
      </w:pPr>
      <w:bookmarkStart w:id="25" w:name="_Toc498509201"/>
      <w:r w:rsidRPr="000B6057">
        <w:lastRenderedPageBreak/>
        <w:t>Nástroje v oblasti zahraniční politiky</w:t>
      </w:r>
      <w:bookmarkEnd w:id="25"/>
    </w:p>
    <w:p w14:paraId="60D2B758" w14:textId="3BD21E20" w:rsidR="00614789" w:rsidRPr="00614789" w:rsidRDefault="00614789" w:rsidP="009B705C">
      <w:pPr>
        <w:keepNext/>
        <w:spacing w:after="240"/>
        <w:jc w:val="both"/>
        <w:rPr>
          <w:rFonts w:asciiTheme="minorHAnsi" w:hAnsiTheme="minorHAnsi"/>
          <w:sz w:val="22"/>
          <w:szCs w:val="22"/>
        </w:rPr>
      </w:pPr>
      <w:r w:rsidRPr="000B6057">
        <w:rPr>
          <w:rFonts w:asciiTheme="minorHAnsi" w:hAnsiTheme="minorHAnsi"/>
          <w:sz w:val="22"/>
          <w:szCs w:val="22"/>
        </w:rPr>
        <w:t>V oblasti zahraniční politiky jsou všechny stanovené úkoly v rámci nástroje vymezeného ve Státní energetické koncepci ČR plněny průběžně.</w:t>
      </w:r>
    </w:p>
    <w:tbl>
      <w:tblPr>
        <w:tblStyle w:val="Mkatabulky"/>
        <w:tblW w:w="4959" w:type="pct"/>
        <w:tblLook w:val="04A0" w:firstRow="1" w:lastRow="0" w:firstColumn="1" w:lastColumn="0" w:noHBand="0" w:noVBand="1"/>
      </w:tblPr>
      <w:tblGrid>
        <w:gridCol w:w="1535"/>
        <w:gridCol w:w="7677"/>
      </w:tblGrid>
      <w:tr w:rsidR="000816BE" w:rsidRPr="006B443D" w14:paraId="66BE55D0" w14:textId="77777777" w:rsidTr="002E4D72">
        <w:tc>
          <w:tcPr>
            <w:tcW w:w="833" w:type="pct"/>
            <w:shd w:val="clear" w:color="auto" w:fill="DBE5F1" w:themeFill="accent1" w:themeFillTint="33"/>
            <w:vAlign w:val="center"/>
          </w:tcPr>
          <w:p w14:paraId="131B75C9" w14:textId="77777777" w:rsidR="000816BE" w:rsidRPr="006B443D" w:rsidRDefault="000816BE" w:rsidP="00B2337B">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1F8259DE" w14:textId="77777777" w:rsidR="000816BE" w:rsidRPr="006B443D" w:rsidRDefault="009076FF" w:rsidP="00B2337B">
            <w:pPr>
              <w:keepNext/>
              <w:spacing w:before="120" w:after="120"/>
              <w:jc w:val="both"/>
              <w:rPr>
                <w:rFonts w:asciiTheme="minorHAnsi" w:hAnsiTheme="minorHAnsi"/>
                <w:b/>
                <w:sz w:val="22"/>
                <w:szCs w:val="22"/>
              </w:rPr>
            </w:pPr>
            <w:r w:rsidRPr="009076FF">
              <w:rPr>
                <w:rFonts w:asciiTheme="minorHAnsi" w:hAnsiTheme="minorHAnsi"/>
                <w:b/>
                <w:sz w:val="22"/>
                <w:szCs w:val="22"/>
              </w:rPr>
              <w:t>V rámci zahraniční politiky v energetice zajistit stálou koordinaci ÚV ČR, MZV, MPO a ERÚ při stanovení a prosazování priorit a klíčových zájmů ČR, koordinace účastí na mezinárodních jednáních, zastupování ČR v mezinárodních organizacích a jejích pracovních skupinách a na důležitých kon</w:t>
            </w:r>
            <w:r>
              <w:rPr>
                <w:rFonts w:asciiTheme="minorHAnsi" w:hAnsiTheme="minorHAnsi"/>
                <w:b/>
                <w:sz w:val="22"/>
                <w:szCs w:val="22"/>
              </w:rPr>
              <w:t>ferencích a odborných diskusích</w:t>
            </w:r>
          </w:p>
        </w:tc>
      </w:tr>
      <w:tr w:rsidR="000816BE" w:rsidRPr="006B443D" w14:paraId="1660DCEE" w14:textId="77777777" w:rsidTr="002E4D72">
        <w:tc>
          <w:tcPr>
            <w:tcW w:w="833" w:type="pct"/>
            <w:vAlign w:val="center"/>
          </w:tcPr>
          <w:p w14:paraId="2EEF074C"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22F7B651" w14:textId="77777777" w:rsidR="009076FF" w:rsidRPr="009076FF" w:rsidRDefault="009076FF" w:rsidP="009076FF">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9076FF">
              <w:rPr>
                <w:rFonts w:asciiTheme="minorHAnsi" w:hAnsiTheme="minorHAnsi"/>
                <w:sz w:val="22"/>
                <w:szCs w:val="22"/>
              </w:rPr>
              <w:t>V rámci zahraniční politiky ve vztahu na EU zajistit zejména tyto dlouhodobé priority:</w:t>
            </w:r>
          </w:p>
          <w:p w14:paraId="141A14C0" w14:textId="77777777" w:rsidR="009076FF" w:rsidRPr="009076FF" w:rsidRDefault="009076FF" w:rsidP="009076FF">
            <w:pPr>
              <w:pStyle w:val="Odstavecseseznamem"/>
              <w:numPr>
                <w:ilvl w:val="0"/>
                <w:numId w:val="9"/>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9076FF">
              <w:rPr>
                <w:rFonts w:asciiTheme="minorHAnsi" w:hAnsiTheme="minorHAnsi"/>
                <w:sz w:val="22"/>
                <w:szCs w:val="22"/>
              </w:rPr>
              <w:t>Integrace trhu s elektřinou a plynem v regionu CEE a v EU.</w:t>
            </w:r>
          </w:p>
          <w:p w14:paraId="479ABCA0" w14:textId="77777777" w:rsidR="009076FF" w:rsidRPr="009076FF" w:rsidRDefault="009076FF" w:rsidP="009076FF">
            <w:pPr>
              <w:pStyle w:val="Odstavecseseznamem"/>
              <w:numPr>
                <w:ilvl w:val="0"/>
                <w:numId w:val="9"/>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9076FF">
              <w:rPr>
                <w:rFonts w:asciiTheme="minorHAnsi" w:hAnsiTheme="minorHAnsi"/>
                <w:sz w:val="22"/>
                <w:szCs w:val="22"/>
              </w:rPr>
              <w:t xml:space="preserve">Zajištění plné implementace směrnic a nařízení o vnitřním trhu ve všech státech EU. Zejména v oblasti nediskriminačního přístupu k přeshraničním kapacitám a respektování přeshraničních vlivů. </w:t>
            </w:r>
          </w:p>
          <w:p w14:paraId="16432CC8" w14:textId="77777777" w:rsidR="009076FF" w:rsidRPr="009076FF" w:rsidRDefault="009076FF" w:rsidP="009076FF">
            <w:pPr>
              <w:pStyle w:val="Odstavecseseznamem"/>
              <w:numPr>
                <w:ilvl w:val="0"/>
                <w:numId w:val="9"/>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9076FF">
              <w:rPr>
                <w:rFonts w:asciiTheme="minorHAnsi" w:hAnsiTheme="minorHAnsi"/>
                <w:sz w:val="22"/>
                <w:szCs w:val="22"/>
              </w:rPr>
              <w:t xml:space="preserve">Integrace rozvoje sítí (včetně účasti na plánování rozvoje evropské přenosové infrastruktury a budování elektrických dálnic - </w:t>
            </w:r>
            <w:proofErr w:type="spellStart"/>
            <w:r w:rsidRPr="009076FF">
              <w:rPr>
                <w:rFonts w:asciiTheme="minorHAnsi" w:hAnsiTheme="minorHAnsi"/>
                <w:sz w:val="22"/>
                <w:szCs w:val="22"/>
              </w:rPr>
              <w:t>Electricity</w:t>
            </w:r>
            <w:proofErr w:type="spellEnd"/>
            <w:r w:rsidRPr="009076FF">
              <w:rPr>
                <w:rFonts w:asciiTheme="minorHAnsi" w:hAnsiTheme="minorHAnsi"/>
                <w:sz w:val="22"/>
                <w:szCs w:val="22"/>
              </w:rPr>
              <w:t xml:space="preserve"> </w:t>
            </w:r>
            <w:proofErr w:type="spellStart"/>
            <w:r w:rsidRPr="009076FF">
              <w:rPr>
                <w:rFonts w:asciiTheme="minorHAnsi" w:hAnsiTheme="minorHAnsi"/>
                <w:sz w:val="22"/>
                <w:szCs w:val="22"/>
              </w:rPr>
              <w:t>Highway</w:t>
            </w:r>
            <w:proofErr w:type="spellEnd"/>
            <w:r w:rsidRPr="009076FF">
              <w:rPr>
                <w:rFonts w:asciiTheme="minorHAnsi" w:hAnsiTheme="minorHAnsi"/>
                <w:sz w:val="22"/>
                <w:szCs w:val="22"/>
              </w:rPr>
              <w:t>).</w:t>
            </w:r>
          </w:p>
          <w:p w14:paraId="2A19A24A" w14:textId="77777777" w:rsidR="009076FF" w:rsidRPr="009076FF" w:rsidRDefault="009076FF" w:rsidP="009076FF">
            <w:pPr>
              <w:pStyle w:val="Odstavecseseznamem"/>
              <w:numPr>
                <w:ilvl w:val="0"/>
                <w:numId w:val="9"/>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9076FF">
              <w:rPr>
                <w:rFonts w:asciiTheme="minorHAnsi" w:hAnsiTheme="minorHAnsi"/>
                <w:sz w:val="22"/>
                <w:szCs w:val="22"/>
              </w:rPr>
              <w:t xml:space="preserve">Usilovat o odstranění deformací trhu s elektřinou a nastavení rovnoprávných podmínek všech zdrojů energie na trhu. Do doby úplného odstranění dotačních schémat prosazovat harmonizované zavádění regulačních mechanismů a dotačních schémat na zajištění přiměřenosti výrobních kapacit a systémové spolehlivosti, případně regionální řešení tak, aby nebyly ohroženy zájmy české energetiky a českých společností. </w:t>
            </w:r>
          </w:p>
          <w:p w14:paraId="3473BC1D" w14:textId="77777777" w:rsidR="009076FF" w:rsidRPr="009076FF" w:rsidRDefault="009076FF" w:rsidP="009076FF">
            <w:pPr>
              <w:pStyle w:val="Odstavecseseznamem"/>
              <w:numPr>
                <w:ilvl w:val="0"/>
                <w:numId w:val="9"/>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9076FF">
              <w:rPr>
                <w:rFonts w:asciiTheme="minorHAnsi" w:hAnsiTheme="minorHAnsi"/>
                <w:sz w:val="22"/>
                <w:szCs w:val="22"/>
              </w:rPr>
              <w:t xml:space="preserve">Zajistit prosazení jaderné energie jako akceptované </w:t>
            </w:r>
            <w:proofErr w:type="spellStart"/>
            <w:r w:rsidRPr="009076FF">
              <w:rPr>
                <w:rFonts w:asciiTheme="minorHAnsi" w:hAnsiTheme="minorHAnsi"/>
                <w:sz w:val="22"/>
                <w:szCs w:val="22"/>
              </w:rPr>
              <w:t>bezuhlíkové</w:t>
            </w:r>
            <w:proofErr w:type="spellEnd"/>
            <w:r w:rsidRPr="009076FF">
              <w:rPr>
                <w:rFonts w:asciiTheme="minorHAnsi" w:hAnsiTheme="minorHAnsi"/>
                <w:sz w:val="22"/>
                <w:szCs w:val="22"/>
              </w:rPr>
              <w:t xml:space="preserve"> technologie, která může být podporována v politice jednotlivých členských zemí.</w:t>
            </w:r>
          </w:p>
          <w:p w14:paraId="57046619" w14:textId="77777777" w:rsidR="009076FF" w:rsidRPr="009076FF" w:rsidRDefault="009076FF" w:rsidP="009076FF">
            <w:pPr>
              <w:pStyle w:val="Odstavecseseznamem"/>
              <w:numPr>
                <w:ilvl w:val="0"/>
                <w:numId w:val="9"/>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9076FF">
              <w:rPr>
                <w:rFonts w:asciiTheme="minorHAnsi" w:hAnsiTheme="minorHAnsi"/>
                <w:sz w:val="22"/>
                <w:szCs w:val="22"/>
              </w:rPr>
              <w:t>Zajistit vývoj legislativy a regulace v oblasti jaderné bezpečnosti, odpovědnosti za škody, mezinárodních projednávání, ukládání VJP a dalších regulativních opatření v oblasti jaderné energetiky na čistě odborné bázi, bez promítnutí ideologických záměrů a přístupů.</w:t>
            </w:r>
          </w:p>
          <w:p w14:paraId="5ECDA472" w14:textId="77777777" w:rsidR="009076FF" w:rsidRPr="009076FF" w:rsidRDefault="009076FF" w:rsidP="009076FF">
            <w:pPr>
              <w:pStyle w:val="Odstavecseseznamem"/>
              <w:numPr>
                <w:ilvl w:val="0"/>
                <w:numId w:val="9"/>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9076FF">
              <w:rPr>
                <w:rFonts w:asciiTheme="minorHAnsi" w:hAnsiTheme="minorHAnsi"/>
                <w:sz w:val="22"/>
                <w:szCs w:val="22"/>
              </w:rPr>
              <w:t xml:space="preserve">Prosazovat přiměřené změny v oblasti povolovacích procesů a procesů EIA investičních projektů (včetně mezistátních) tak, aby byl u těchto procesů zajištěn co nejefektivnější průběh. </w:t>
            </w:r>
          </w:p>
          <w:p w14:paraId="122AA1AD" w14:textId="77777777" w:rsidR="009076FF" w:rsidRPr="009076FF" w:rsidRDefault="009076FF" w:rsidP="009076FF">
            <w:pPr>
              <w:pStyle w:val="Odstavecseseznamem"/>
              <w:numPr>
                <w:ilvl w:val="0"/>
                <w:numId w:val="9"/>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9076FF">
              <w:rPr>
                <w:rFonts w:asciiTheme="minorHAnsi" w:hAnsiTheme="minorHAnsi"/>
                <w:sz w:val="22"/>
                <w:szCs w:val="22"/>
              </w:rPr>
              <w:t xml:space="preserve">Podpora diverzifikace evropských přepravních tras a zdrojových teritorií, včetně podpory vyšší </w:t>
            </w:r>
            <w:proofErr w:type="spellStart"/>
            <w:r w:rsidRPr="009076FF">
              <w:rPr>
                <w:rFonts w:asciiTheme="minorHAnsi" w:hAnsiTheme="minorHAnsi"/>
                <w:sz w:val="22"/>
                <w:szCs w:val="22"/>
              </w:rPr>
              <w:t>interkonektivity</w:t>
            </w:r>
            <w:proofErr w:type="spellEnd"/>
            <w:r w:rsidRPr="009076FF">
              <w:rPr>
                <w:rFonts w:asciiTheme="minorHAnsi" w:hAnsiTheme="minorHAnsi"/>
                <w:sz w:val="22"/>
                <w:szCs w:val="22"/>
              </w:rPr>
              <w:t xml:space="preserve"> (ropa, plyn, elektřina), včetně příslušné finanční participace ze strany evropských fondů. </w:t>
            </w:r>
          </w:p>
          <w:p w14:paraId="088931C8" w14:textId="1BCE6CFF" w:rsidR="009076FF" w:rsidRPr="009076FF" w:rsidRDefault="009076FF" w:rsidP="009076FF">
            <w:pPr>
              <w:pStyle w:val="Odstavecseseznamem"/>
              <w:numPr>
                <w:ilvl w:val="0"/>
                <w:numId w:val="9"/>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9076FF">
              <w:rPr>
                <w:rFonts w:asciiTheme="minorHAnsi" w:hAnsiTheme="minorHAnsi"/>
                <w:sz w:val="22"/>
                <w:szCs w:val="22"/>
              </w:rPr>
              <w:t>Posilovat energetickou spolupráci zemí V4 a snažit se koordinovat postoj ke všem významným dokumentům a rozhodovacím procesům v energetice v</w:t>
            </w:r>
            <w:r w:rsidR="002F1E7C">
              <w:rPr>
                <w:rFonts w:asciiTheme="minorHAnsi" w:hAnsiTheme="minorHAnsi"/>
                <w:sz w:val="22"/>
                <w:szCs w:val="22"/>
              </w:rPr>
              <w:t> </w:t>
            </w:r>
            <w:r w:rsidRPr="009076FF">
              <w:rPr>
                <w:rFonts w:asciiTheme="minorHAnsi" w:hAnsiTheme="minorHAnsi"/>
                <w:sz w:val="22"/>
                <w:szCs w:val="22"/>
              </w:rPr>
              <w:t>rámci EU, nicméně cíleně využívat ad hoc koalice napříč EU k prosazování českých zájmů.</w:t>
            </w:r>
          </w:p>
          <w:p w14:paraId="12478785" w14:textId="77777777" w:rsidR="009076FF" w:rsidRPr="009076FF" w:rsidRDefault="009076FF" w:rsidP="009076FF">
            <w:pPr>
              <w:pStyle w:val="Odstavecseseznamem"/>
              <w:numPr>
                <w:ilvl w:val="0"/>
                <w:numId w:val="9"/>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9076FF">
              <w:rPr>
                <w:rFonts w:asciiTheme="minorHAnsi" w:hAnsiTheme="minorHAnsi"/>
                <w:sz w:val="22"/>
                <w:szCs w:val="22"/>
              </w:rPr>
              <w:t xml:space="preserve">V rámci evropských jednání důrazně obhajovat národní suverenitu nad volbou energetického mixu a důsledné technologické neutrality, nákladové efektivity při naplňování evropských dekarbonizačních závazků v kontextu zapojení se ostatních světových emitentů skleníkových plynů do dekarbonizačního úsilí. </w:t>
            </w:r>
          </w:p>
          <w:p w14:paraId="5D26C631" w14:textId="5960209D" w:rsidR="009076FF" w:rsidRDefault="009076FF" w:rsidP="009076FF">
            <w:pPr>
              <w:pStyle w:val="Odstavecseseznamem"/>
              <w:numPr>
                <w:ilvl w:val="0"/>
                <w:numId w:val="9"/>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9076FF">
              <w:rPr>
                <w:rFonts w:asciiTheme="minorHAnsi" w:hAnsiTheme="minorHAnsi"/>
                <w:sz w:val="22"/>
                <w:szCs w:val="22"/>
              </w:rPr>
              <w:t>Podporovat rozvoj krizových plánů pro případy energetických krizí a</w:t>
            </w:r>
            <w:r w:rsidR="002F1E7C">
              <w:rPr>
                <w:rFonts w:asciiTheme="minorHAnsi" w:hAnsiTheme="minorHAnsi"/>
                <w:sz w:val="22"/>
                <w:szCs w:val="22"/>
              </w:rPr>
              <w:t> </w:t>
            </w:r>
            <w:r w:rsidRPr="009076FF">
              <w:rPr>
                <w:rFonts w:asciiTheme="minorHAnsi" w:hAnsiTheme="minorHAnsi"/>
                <w:sz w:val="22"/>
                <w:szCs w:val="22"/>
              </w:rPr>
              <w:t>výjimečných situací na úrovni středoevropského regionu.</w:t>
            </w:r>
          </w:p>
          <w:p w14:paraId="70775031" w14:textId="77777777" w:rsidR="009076FF" w:rsidRPr="009076FF" w:rsidRDefault="009076FF" w:rsidP="00CF4DA2">
            <w:pPr>
              <w:pStyle w:val="Odstavecseseznamem"/>
              <w:numPr>
                <w:ilvl w:val="0"/>
                <w:numId w:val="3"/>
              </w:numPr>
              <w:overflowPunct w:val="0"/>
              <w:autoSpaceDE w:val="0"/>
              <w:autoSpaceDN w:val="0"/>
              <w:adjustRightInd w:val="0"/>
              <w:spacing w:before="240"/>
              <w:ind w:left="284" w:hanging="284"/>
              <w:contextualSpacing w:val="0"/>
              <w:jc w:val="both"/>
              <w:textAlignment w:val="baseline"/>
              <w:rPr>
                <w:rFonts w:asciiTheme="minorHAnsi" w:hAnsiTheme="minorHAnsi"/>
                <w:sz w:val="22"/>
                <w:szCs w:val="22"/>
              </w:rPr>
            </w:pPr>
            <w:r w:rsidRPr="009076FF">
              <w:rPr>
                <w:rFonts w:asciiTheme="minorHAnsi" w:hAnsiTheme="minorHAnsi"/>
                <w:sz w:val="22"/>
                <w:szCs w:val="22"/>
              </w:rPr>
              <w:t>V rámci zahraniční politiky ve vztahu na země mimo EU:</w:t>
            </w:r>
          </w:p>
          <w:p w14:paraId="2C4C684E" w14:textId="77777777" w:rsidR="009076FF" w:rsidRPr="009E6F64" w:rsidRDefault="009076FF" w:rsidP="009E6F64">
            <w:pPr>
              <w:pStyle w:val="Odstavecseseznamem"/>
              <w:numPr>
                <w:ilvl w:val="0"/>
                <w:numId w:val="10"/>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9E6F64">
              <w:rPr>
                <w:rFonts w:asciiTheme="minorHAnsi" w:hAnsiTheme="minorHAnsi"/>
                <w:sz w:val="22"/>
                <w:szCs w:val="22"/>
              </w:rPr>
              <w:t>Zajistit aktivní participaci v IEF a IEA a prosazovat zájmy ČR v oblasti stability trhu s ropou.</w:t>
            </w:r>
          </w:p>
          <w:p w14:paraId="0A4A3F99" w14:textId="77777777" w:rsidR="009076FF" w:rsidRPr="009E6F64" w:rsidRDefault="009076FF" w:rsidP="009E6F64">
            <w:pPr>
              <w:pStyle w:val="Odstavecseseznamem"/>
              <w:numPr>
                <w:ilvl w:val="0"/>
                <w:numId w:val="10"/>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9E6F64">
              <w:rPr>
                <w:rFonts w:asciiTheme="minorHAnsi" w:hAnsiTheme="minorHAnsi"/>
                <w:sz w:val="22"/>
                <w:szCs w:val="22"/>
              </w:rPr>
              <w:lastRenderedPageBreak/>
              <w:t>Zajistit podporu smluv s novými producenty plynu ve vazbě na využití severojižního koridoru a budoucích možností přístupu ke LNG.</w:t>
            </w:r>
          </w:p>
          <w:p w14:paraId="5D767A17" w14:textId="77777777" w:rsidR="009076FF" w:rsidRPr="009E6F64" w:rsidRDefault="009076FF" w:rsidP="009E6F64">
            <w:pPr>
              <w:pStyle w:val="Odstavecseseznamem"/>
              <w:numPr>
                <w:ilvl w:val="0"/>
                <w:numId w:val="10"/>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9E6F64">
              <w:rPr>
                <w:rFonts w:asciiTheme="minorHAnsi" w:hAnsiTheme="minorHAnsi"/>
                <w:sz w:val="22"/>
                <w:szCs w:val="22"/>
              </w:rPr>
              <w:t>Koordinovat spolupráci s významnými producentskými a tranzitními zeměmi.</w:t>
            </w:r>
          </w:p>
          <w:p w14:paraId="2536B653" w14:textId="77777777" w:rsidR="009076FF" w:rsidRPr="009E6F64" w:rsidRDefault="009076FF" w:rsidP="009E6F64">
            <w:pPr>
              <w:pStyle w:val="Odstavecseseznamem"/>
              <w:numPr>
                <w:ilvl w:val="0"/>
                <w:numId w:val="10"/>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9E6F64">
              <w:rPr>
                <w:rFonts w:asciiTheme="minorHAnsi" w:hAnsiTheme="minorHAnsi"/>
                <w:sz w:val="22"/>
                <w:szCs w:val="22"/>
              </w:rPr>
              <w:t>Podporovat spolupráci v oblasti zabezpečení dodávek ropy a ropných produktů a souvisejících nouzových opatření.</w:t>
            </w:r>
          </w:p>
          <w:p w14:paraId="3EFD4C32" w14:textId="23D358C9" w:rsidR="000816BE" w:rsidRPr="009E6F64" w:rsidRDefault="009076FF" w:rsidP="002F1E7C">
            <w:pPr>
              <w:pStyle w:val="Odstavecseseznamem"/>
              <w:numPr>
                <w:ilvl w:val="0"/>
                <w:numId w:val="10"/>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9E6F64">
              <w:rPr>
                <w:rFonts w:asciiTheme="minorHAnsi" w:hAnsiTheme="minorHAnsi"/>
                <w:sz w:val="22"/>
                <w:szCs w:val="22"/>
              </w:rPr>
              <w:t>Posílit „energetickou diplomacii“ zejména v zemích producentských či tranzitních, a v tradičních cílových zemích našeho energetického průmyslu i</w:t>
            </w:r>
            <w:r w:rsidR="002F1E7C">
              <w:rPr>
                <w:rFonts w:asciiTheme="minorHAnsi" w:hAnsiTheme="minorHAnsi"/>
                <w:sz w:val="22"/>
                <w:szCs w:val="22"/>
              </w:rPr>
              <w:t> </w:t>
            </w:r>
            <w:r w:rsidRPr="009E6F64">
              <w:rPr>
                <w:rFonts w:asciiTheme="minorHAnsi" w:hAnsiTheme="minorHAnsi"/>
                <w:sz w:val="22"/>
                <w:szCs w:val="22"/>
              </w:rPr>
              <w:t>v</w:t>
            </w:r>
            <w:r w:rsidR="002F1E7C">
              <w:rPr>
                <w:rFonts w:asciiTheme="minorHAnsi" w:hAnsiTheme="minorHAnsi"/>
                <w:sz w:val="22"/>
                <w:szCs w:val="22"/>
              </w:rPr>
              <w:t> </w:t>
            </w:r>
            <w:r w:rsidRPr="009E6F64">
              <w:rPr>
                <w:rFonts w:asciiTheme="minorHAnsi" w:hAnsiTheme="minorHAnsi"/>
                <w:sz w:val="22"/>
                <w:szCs w:val="22"/>
              </w:rPr>
              <w:t>rozvíjejících se zemích s velkým potenciálem trhu pro energetiku a</w:t>
            </w:r>
            <w:r w:rsidR="002F1E7C">
              <w:rPr>
                <w:rFonts w:asciiTheme="minorHAnsi" w:hAnsiTheme="minorHAnsi"/>
                <w:sz w:val="22"/>
                <w:szCs w:val="22"/>
              </w:rPr>
              <w:t> </w:t>
            </w:r>
            <w:r w:rsidRPr="009E6F64">
              <w:rPr>
                <w:rFonts w:asciiTheme="minorHAnsi" w:hAnsiTheme="minorHAnsi"/>
                <w:sz w:val="22"/>
                <w:szCs w:val="22"/>
              </w:rPr>
              <w:t>zejména pro energetické strojírenství. Zaměřit se na informační podporu českých podniků, aktivní vyhledávání obchodních příležitostí a politickou podporu na místní úrovni.</w:t>
            </w:r>
          </w:p>
        </w:tc>
      </w:tr>
      <w:tr w:rsidR="000816BE" w:rsidRPr="006B443D" w14:paraId="35B5492B" w14:textId="77777777" w:rsidTr="002E4D72">
        <w:tc>
          <w:tcPr>
            <w:tcW w:w="833" w:type="pct"/>
            <w:vAlign w:val="center"/>
          </w:tcPr>
          <w:p w14:paraId="1D0843DF"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lastRenderedPageBreak/>
              <w:t>Gesce</w:t>
            </w:r>
          </w:p>
        </w:tc>
        <w:tc>
          <w:tcPr>
            <w:tcW w:w="4167" w:type="pct"/>
            <w:vAlign w:val="center"/>
          </w:tcPr>
          <w:p w14:paraId="61207855" w14:textId="77777777" w:rsidR="000816BE" w:rsidRPr="006B443D" w:rsidRDefault="009E6F64" w:rsidP="002E4D72">
            <w:pPr>
              <w:spacing w:before="120" w:after="120"/>
              <w:jc w:val="both"/>
              <w:rPr>
                <w:rFonts w:asciiTheme="minorHAnsi" w:hAnsiTheme="minorHAnsi"/>
                <w:sz w:val="22"/>
                <w:szCs w:val="22"/>
              </w:rPr>
            </w:pPr>
            <w:r w:rsidRPr="009E6F64">
              <w:rPr>
                <w:rFonts w:asciiTheme="minorHAnsi" w:hAnsiTheme="minorHAnsi"/>
                <w:sz w:val="22"/>
                <w:szCs w:val="22"/>
              </w:rPr>
              <w:t>ÚV ČR, MZV, MPO, MŽP, MV, ERÚ, SSHR</w:t>
            </w:r>
          </w:p>
        </w:tc>
      </w:tr>
      <w:tr w:rsidR="000816BE" w:rsidRPr="006B443D" w14:paraId="1D197CC6" w14:textId="77777777" w:rsidTr="002E4D72">
        <w:tc>
          <w:tcPr>
            <w:tcW w:w="833" w:type="pct"/>
            <w:vAlign w:val="center"/>
          </w:tcPr>
          <w:p w14:paraId="06C4CCDE"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46F416BF" w14:textId="77777777" w:rsidR="000816BE" w:rsidRPr="006B443D" w:rsidRDefault="009E6F64" w:rsidP="002E4D72">
            <w:pPr>
              <w:spacing w:before="120" w:after="120"/>
              <w:jc w:val="both"/>
              <w:rPr>
                <w:rFonts w:asciiTheme="minorHAnsi" w:hAnsiTheme="minorHAnsi"/>
                <w:sz w:val="22"/>
                <w:szCs w:val="22"/>
              </w:rPr>
            </w:pPr>
            <w:r>
              <w:rPr>
                <w:rFonts w:asciiTheme="minorHAnsi" w:hAnsiTheme="minorHAnsi"/>
                <w:sz w:val="22"/>
                <w:szCs w:val="22"/>
              </w:rPr>
              <w:t>průběžně</w:t>
            </w:r>
          </w:p>
        </w:tc>
      </w:tr>
      <w:tr w:rsidR="000816BE" w:rsidRPr="006B443D" w14:paraId="4F27D6BF" w14:textId="77777777" w:rsidTr="002E4D72">
        <w:tc>
          <w:tcPr>
            <w:tcW w:w="833" w:type="pct"/>
            <w:vAlign w:val="center"/>
          </w:tcPr>
          <w:p w14:paraId="75D4742B" w14:textId="77777777" w:rsidR="000816BE" w:rsidRPr="006B443D" w:rsidRDefault="000816BE" w:rsidP="00B1114F">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72799752" w14:textId="77777777" w:rsidR="009E6F64" w:rsidRPr="009E6F64" w:rsidRDefault="009E6F64" w:rsidP="00B1114F">
            <w:pPr>
              <w:overflowPunct w:val="0"/>
              <w:autoSpaceDE w:val="0"/>
              <w:autoSpaceDN w:val="0"/>
              <w:adjustRightInd w:val="0"/>
              <w:spacing w:before="120" w:after="120"/>
              <w:jc w:val="both"/>
              <w:textAlignment w:val="baseline"/>
              <w:rPr>
                <w:rFonts w:asciiTheme="minorHAnsi" w:hAnsiTheme="minorHAnsi"/>
                <w:b/>
                <w:sz w:val="22"/>
                <w:szCs w:val="22"/>
              </w:rPr>
            </w:pPr>
            <w:r w:rsidRPr="009E6F64">
              <w:rPr>
                <w:rFonts w:asciiTheme="minorHAnsi" w:hAnsiTheme="minorHAnsi"/>
                <w:b/>
                <w:sz w:val="22"/>
                <w:szCs w:val="22"/>
              </w:rPr>
              <w:t>Plněno průběžně</w:t>
            </w:r>
          </w:p>
          <w:p w14:paraId="3DAF0ED0" w14:textId="77777777" w:rsidR="009E6F64" w:rsidRDefault="009E6F64" w:rsidP="00B1114F">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 xml:space="preserve">Vzhledem k obsahu a rozsahu nástroje je jeho </w:t>
            </w:r>
            <w:proofErr w:type="spellStart"/>
            <w:r>
              <w:rPr>
                <w:rFonts w:asciiTheme="minorHAnsi" w:hAnsiTheme="minorHAnsi"/>
                <w:sz w:val="22"/>
                <w:szCs w:val="22"/>
              </w:rPr>
              <w:t>spolugestorem</w:t>
            </w:r>
            <w:proofErr w:type="spellEnd"/>
            <w:r>
              <w:rPr>
                <w:rFonts w:asciiTheme="minorHAnsi" w:hAnsiTheme="minorHAnsi"/>
                <w:sz w:val="22"/>
                <w:szCs w:val="22"/>
              </w:rPr>
              <w:t xml:space="preserve"> také SÚJB, </w:t>
            </w:r>
            <w:r w:rsidRPr="009E6F64">
              <w:rPr>
                <w:rFonts w:asciiTheme="minorHAnsi" w:hAnsiTheme="minorHAnsi"/>
                <w:sz w:val="22"/>
                <w:szCs w:val="22"/>
              </w:rPr>
              <w:t xml:space="preserve">který původně nebyl v SEK jako </w:t>
            </w:r>
            <w:proofErr w:type="spellStart"/>
            <w:r w:rsidRPr="009E6F64">
              <w:rPr>
                <w:rFonts w:asciiTheme="minorHAnsi" w:hAnsiTheme="minorHAnsi"/>
                <w:sz w:val="22"/>
                <w:szCs w:val="22"/>
              </w:rPr>
              <w:t>spolugestor</w:t>
            </w:r>
            <w:proofErr w:type="spellEnd"/>
            <w:r w:rsidRPr="009E6F64">
              <w:rPr>
                <w:rFonts w:asciiTheme="minorHAnsi" w:hAnsiTheme="minorHAnsi"/>
                <w:sz w:val="22"/>
                <w:szCs w:val="22"/>
              </w:rPr>
              <w:t xml:space="preserve"> uveden.</w:t>
            </w:r>
          </w:p>
          <w:p w14:paraId="7FD81C4C" w14:textId="482F6BFB" w:rsidR="009E6F64" w:rsidRPr="009E6F64" w:rsidRDefault="009E6F64" w:rsidP="00B1114F">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9E6F64">
              <w:rPr>
                <w:rFonts w:asciiTheme="minorHAnsi" w:hAnsiTheme="minorHAnsi"/>
                <w:sz w:val="22"/>
                <w:szCs w:val="22"/>
              </w:rPr>
              <w:t>Problematika zahraniční politiky v energetice je aktuálně řešena v rámci Výboru pro EU</w:t>
            </w:r>
            <w:r w:rsidR="00C04B6D">
              <w:rPr>
                <w:rFonts w:asciiTheme="minorHAnsi" w:hAnsiTheme="minorHAnsi"/>
                <w:sz w:val="22"/>
                <w:szCs w:val="22"/>
              </w:rPr>
              <w:t xml:space="preserve"> a jeho mechanismů</w:t>
            </w:r>
            <w:r w:rsidRPr="009E6F64">
              <w:rPr>
                <w:rFonts w:asciiTheme="minorHAnsi" w:hAnsiTheme="minorHAnsi"/>
                <w:sz w:val="22"/>
                <w:szCs w:val="22"/>
              </w:rPr>
              <w:t xml:space="preserve"> na pracovní i vládní úrovni.</w:t>
            </w:r>
          </w:p>
          <w:p w14:paraId="20C28E8A" w14:textId="007DE146" w:rsidR="009E6F64" w:rsidRPr="009E6F64" w:rsidRDefault="009E6F64" w:rsidP="00B1114F">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9E6F64">
              <w:rPr>
                <w:rFonts w:asciiTheme="minorHAnsi" w:hAnsiTheme="minorHAnsi"/>
                <w:sz w:val="22"/>
                <w:szCs w:val="22"/>
              </w:rPr>
              <w:t>Zástupci MPO na jednáních vystupují v souladu s cíli SEK, svá stanoviska také sdělují pomocí veřejných konzultací,</w:t>
            </w:r>
            <w:r w:rsidR="00731BF0">
              <w:rPr>
                <w:rFonts w:asciiTheme="minorHAnsi" w:hAnsiTheme="minorHAnsi"/>
                <w:sz w:val="22"/>
                <w:szCs w:val="22"/>
              </w:rPr>
              <w:t xml:space="preserve"> oficiálních stanovisek,</w:t>
            </w:r>
            <w:r w:rsidRPr="009E6F64">
              <w:rPr>
                <w:rFonts w:asciiTheme="minorHAnsi" w:hAnsiTheme="minorHAnsi"/>
                <w:sz w:val="22"/>
                <w:szCs w:val="22"/>
              </w:rPr>
              <w:t xml:space="preserve"> neformálních setkání s</w:t>
            </w:r>
            <w:r w:rsidR="002F1E7C">
              <w:rPr>
                <w:rFonts w:asciiTheme="minorHAnsi" w:hAnsiTheme="minorHAnsi"/>
                <w:sz w:val="22"/>
                <w:szCs w:val="22"/>
              </w:rPr>
              <w:t> </w:t>
            </w:r>
            <w:r w:rsidRPr="009E6F64">
              <w:rPr>
                <w:rFonts w:asciiTheme="minorHAnsi" w:hAnsiTheme="minorHAnsi"/>
                <w:sz w:val="22"/>
                <w:szCs w:val="22"/>
              </w:rPr>
              <w:t>Evropskou komisí či</w:t>
            </w:r>
            <w:r w:rsidR="00731BF0">
              <w:rPr>
                <w:rFonts w:asciiTheme="minorHAnsi" w:hAnsiTheme="minorHAnsi"/>
                <w:sz w:val="22"/>
                <w:szCs w:val="22"/>
              </w:rPr>
              <w:t xml:space="preserve"> jinými institucemi nebo organizacemi</w:t>
            </w:r>
            <w:r w:rsidRPr="009E6F64">
              <w:rPr>
                <w:rFonts w:asciiTheme="minorHAnsi" w:hAnsiTheme="minorHAnsi"/>
                <w:sz w:val="22"/>
                <w:szCs w:val="22"/>
              </w:rPr>
              <w:t xml:space="preserve">. MPO se účastní </w:t>
            </w:r>
            <w:r w:rsidR="00731BF0">
              <w:rPr>
                <w:rFonts w:asciiTheme="minorHAnsi" w:hAnsiTheme="minorHAnsi"/>
                <w:sz w:val="22"/>
                <w:szCs w:val="22"/>
              </w:rPr>
              <w:t xml:space="preserve">řady </w:t>
            </w:r>
            <w:r w:rsidRPr="009E6F64">
              <w:rPr>
                <w:rFonts w:asciiTheme="minorHAnsi" w:hAnsiTheme="minorHAnsi"/>
                <w:sz w:val="22"/>
                <w:szCs w:val="22"/>
              </w:rPr>
              <w:t>pracovní</w:t>
            </w:r>
            <w:r w:rsidR="00731BF0">
              <w:rPr>
                <w:rFonts w:asciiTheme="minorHAnsi" w:hAnsiTheme="minorHAnsi"/>
                <w:sz w:val="22"/>
                <w:szCs w:val="22"/>
              </w:rPr>
              <w:t>ch</w:t>
            </w:r>
            <w:r w:rsidRPr="009E6F64">
              <w:rPr>
                <w:rFonts w:asciiTheme="minorHAnsi" w:hAnsiTheme="minorHAnsi"/>
                <w:sz w:val="22"/>
                <w:szCs w:val="22"/>
              </w:rPr>
              <w:t xml:space="preserve"> skupin </w:t>
            </w:r>
            <w:r w:rsidR="00731BF0">
              <w:rPr>
                <w:rFonts w:asciiTheme="minorHAnsi" w:hAnsiTheme="minorHAnsi"/>
                <w:sz w:val="22"/>
                <w:szCs w:val="22"/>
              </w:rPr>
              <w:t xml:space="preserve">a výborů </w:t>
            </w:r>
            <w:r w:rsidRPr="009E6F64">
              <w:rPr>
                <w:rFonts w:asciiTheme="minorHAnsi" w:hAnsiTheme="minorHAnsi"/>
                <w:sz w:val="22"/>
                <w:szCs w:val="22"/>
              </w:rPr>
              <w:t>Evropské komise</w:t>
            </w:r>
            <w:r w:rsidR="00731BF0">
              <w:rPr>
                <w:rFonts w:asciiTheme="minorHAnsi" w:hAnsiTheme="minorHAnsi"/>
                <w:sz w:val="22"/>
                <w:szCs w:val="22"/>
              </w:rPr>
              <w:t>. Jednou z nich je</w:t>
            </w:r>
            <w:r w:rsidRPr="009E6F64">
              <w:rPr>
                <w:rFonts w:asciiTheme="minorHAnsi" w:hAnsiTheme="minorHAnsi"/>
                <w:sz w:val="22"/>
                <w:szCs w:val="22"/>
              </w:rPr>
              <w:t xml:space="preserve"> </w:t>
            </w:r>
            <w:proofErr w:type="spellStart"/>
            <w:r w:rsidRPr="009E6F64">
              <w:rPr>
                <w:rFonts w:asciiTheme="minorHAnsi" w:hAnsiTheme="minorHAnsi"/>
                <w:sz w:val="22"/>
                <w:szCs w:val="22"/>
              </w:rPr>
              <w:t>Electricity</w:t>
            </w:r>
            <w:proofErr w:type="spellEnd"/>
            <w:r w:rsidRPr="009E6F64">
              <w:rPr>
                <w:rFonts w:asciiTheme="minorHAnsi" w:hAnsiTheme="minorHAnsi"/>
                <w:sz w:val="22"/>
                <w:szCs w:val="22"/>
              </w:rPr>
              <w:t xml:space="preserve"> </w:t>
            </w:r>
            <w:proofErr w:type="spellStart"/>
            <w:r w:rsidRPr="009E6F64">
              <w:rPr>
                <w:rFonts w:asciiTheme="minorHAnsi" w:hAnsiTheme="minorHAnsi"/>
                <w:sz w:val="22"/>
                <w:szCs w:val="22"/>
              </w:rPr>
              <w:t>Coordination</w:t>
            </w:r>
            <w:proofErr w:type="spellEnd"/>
            <w:r w:rsidRPr="009E6F64">
              <w:rPr>
                <w:rFonts w:asciiTheme="minorHAnsi" w:hAnsiTheme="minorHAnsi"/>
                <w:sz w:val="22"/>
                <w:szCs w:val="22"/>
              </w:rPr>
              <w:t xml:space="preserve"> Group</w:t>
            </w:r>
            <w:r w:rsidR="00DF0273">
              <w:rPr>
                <w:rFonts w:asciiTheme="minorHAnsi" w:hAnsiTheme="minorHAnsi"/>
                <w:sz w:val="22"/>
                <w:szCs w:val="22"/>
              </w:rPr>
              <w:t xml:space="preserve"> (ECG)</w:t>
            </w:r>
            <w:r w:rsidRPr="009E6F64">
              <w:rPr>
                <w:rFonts w:asciiTheme="minorHAnsi" w:hAnsiTheme="minorHAnsi"/>
                <w:sz w:val="22"/>
                <w:szCs w:val="22"/>
              </w:rPr>
              <w:t xml:space="preserve">, </w:t>
            </w:r>
            <w:r w:rsidR="00731BF0">
              <w:rPr>
                <w:rFonts w:asciiTheme="minorHAnsi" w:hAnsiTheme="minorHAnsi"/>
                <w:sz w:val="22"/>
                <w:szCs w:val="22"/>
              </w:rPr>
              <w:t>jež</w:t>
            </w:r>
            <w:r w:rsidRPr="009E6F64">
              <w:rPr>
                <w:rFonts w:asciiTheme="minorHAnsi" w:hAnsiTheme="minorHAnsi"/>
                <w:sz w:val="22"/>
                <w:szCs w:val="22"/>
              </w:rPr>
              <w:t xml:space="preserve"> je platformou pro výměnu informací a koordinaci opatření v oblasti elektrické energie s přeshraničním dopadem</w:t>
            </w:r>
            <w:r w:rsidR="00731BF0">
              <w:rPr>
                <w:rFonts w:asciiTheme="minorHAnsi" w:hAnsiTheme="minorHAnsi"/>
                <w:sz w:val="22"/>
                <w:szCs w:val="22"/>
              </w:rPr>
              <w:t xml:space="preserve"> a jíž se účastní</w:t>
            </w:r>
            <w:r w:rsidRPr="009E6F64">
              <w:rPr>
                <w:rFonts w:asciiTheme="minorHAnsi" w:hAnsiTheme="minorHAnsi"/>
                <w:sz w:val="22"/>
                <w:szCs w:val="22"/>
              </w:rPr>
              <w:t xml:space="preserve"> ministerstva, regulátoři, ACER</w:t>
            </w:r>
            <w:r w:rsidR="00731BF0">
              <w:rPr>
                <w:rFonts w:asciiTheme="minorHAnsi" w:hAnsiTheme="minorHAnsi"/>
                <w:sz w:val="22"/>
                <w:szCs w:val="22"/>
              </w:rPr>
              <w:t xml:space="preserve"> a</w:t>
            </w:r>
            <w:r w:rsidRPr="009E6F64">
              <w:rPr>
                <w:rFonts w:asciiTheme="minorHAnsi" w:hAnsiTheme="minorHAnsi"/>
                <w:sz w:val="22"/>
                <w:szCs w:val="22"/>
              </w:rPr>
              <w:t xml:space="preserve"> ENTSO-E. Je té</w:t>
            </w:r>
            <w:r w:rsidR="006E653E">
              <w:rPr>
                <w:rFonts w:asciiTheme="minorHAnsi" w:hAnsiTheme="minorHAnsi"/>
                <w:sz w:val="22"/>
                <w:szCs w:val="22"/>
              </w:rPr>
              <w:t>ž</w:t>
            </w:r>
            <w:r w:rsidRPr="009E6F64">
              <w:rPr>
                <w:rFonts w:asciiTheme="minorHAnsi" w:hAnsiTheme="minorHAnsi"/>
                <w:sz w:val="22"/>
                <w:szCs w:val="22"/>
              </w:rPr>
              <w:t xml:space="preserve"> účastníkem iniciativy </w:t>
            </w:r>
            <w:proofErr w:type="spellStart"/>
            <w:r w:rsidRPr="009E6F64">
              <w:rPr>
                <w:rFonts w:asciiTheme="minorHAnsi" w:hAnsiTheme="minorHAnsi"/>
                <w:sz w:val="22"/>
                <w:szCs w:val="22"/>
              </w:rPr>
              <w:t>Electricity</w:t>
            </w:r>
            <w:proofErr w:type="spellEnd"/>
            <w:r w:rsidRPr="009E6F64">
              <w:rPr>
                <w:rFonts w:asciiTheme="minorHAnsi" w:hAnsiTheme="minorHAnsi"/>
                <w:sz w:val="22"/>
                <w:szCs w:val="22"/>
              </w:rPr>
              <w:t xml:space="preserve"> </w:t>
            </w:r>
            <w:proofErr w:type="spellStart"/>
            <w:r w:rsidRPr="009E6F64">
              <w:rPr>
                <w:rFonts w:asciiTheme="minorHAnsi" w:hAnsiTheme="minorHAnsi"/>
                <w:sz w:val="22"/>
                <w:szCs w:val="22"/>
              </w:rPr>
              <w:t>Neighbours</w:t>
            </w:r>
            <w:proofErr w:type="spellEnd"/>
            <w:r w:rsidRPr="009E6F64">
              <w:rPr>
                <w:rFonts w:asciiTheme="minorHAnsi" w:hAnsiTheme="minorHAnsi"/>
                <w:sz w:val="22"/>
                <w:szCs w:val="22"/>
              </w:rPr>
              <w:t>, platformy zahrnující Německo a 11 sousedících zemí</w:t>
            </w:r>
            <w:r w:rsidR="006E653E">
              <w:rPr>
                <w:rFonts w:asciiTheme="minorHAnsi" w:hAnsiTheme="minorHAnsi"/>
                <w:sz w:val="22"/>
                <w:szCs w:val="22"/>
              </w:rPr>
              <w:t>, která</w:t>
            </w:r>
            <w:r w:rsidRPr="009E6F64">
              <w:rPr>
                <w:rFonts w:asciiTheme="minorHAnsi" w:hAnsiTheme="minorHAnsi"/>
                <w:sz w:val="22"/>
                <w:szCs w:val="22"/>
              </w:rPr>
              <w:t xml:space="preserve"> řeší spolupráci v oblasti zajištění bezpečnosti dodávek elektřiny, a</w:t>
            </w:r>
            <w:r w:rsidR="006E653E">
              <w:rPr>
                <w:rFonts w:asciiTheme="minorHAnsi" w:hAnsiTheme="minorHAnsi"/>
                <w:sz w:val="22"/>
                <w:szCs w:val="22"/>
              </w:rPr>
              <w:t xml:space="preserve"> </w:t>
            </w:r>
            <w:r w:rsidRPr="009E6F64">
              <w:rPr>
                <w:rFonts w:asciiTheme="minorHAnsi" w:hAnsiTheme="minorHAnsi"/>
                <w:sz w:val="22"/>
                <w:szCs w:val="22"/>
              </w:rPr>
              <w:t>Florentského regulačního fóra. V oblasti rozvoje energetické infrastruktury se MPO účastní pracovní</w:t>
            </w:r>
            <w:r w:rsidR="006E653E">
              <w:rPr>
                <w:rFonts w:asciiTheme="minorHAnsi" w:hAnsiTheme="minorHAnsi"/>
                <w:sz w:val="22"/>
                <w:szCs w:val="22"/>
              </w:rPr>
              <w:t>ch</w:t>
            </w:r>
            <w:r w:rsidRPr="009E6F64">
              <w:rPr>
                <w:rFonts w:asciiTheme="minorHAnsi" w:hAnsiTheme="minorHAnsi"/>
                <w:sz w:val="22"/>
                <w:szCs w:val="22"/>
              </w:rPr>
              <w:t xml:space="preserve"> skupin k</w:t>
            </w:r>
            <w:r w:rsidR="006E653E">
              <w:rPr>
                <w:rFonts w:asciiTheme="minorHAnsi" w:hAnsiTheme="minorHAnsi"/>
                <w:sz w:val="22"/>
                <w:szCs w:val="22"/>
              </w:rPr>
              <w:t> </w:t>
            </w:r>
            <w:r w:rsidRPr="009E6F64">
              <w:rPr>
                <w:rFonts w:asciiTheme="minorHAnsi" w:hAnsiTheme="minorHAnsi"/>
                <w:sz w:val="22"/>
                <w:szCs w:val="22"/>
              </w:rPr>
              <w:t>projektům</w:t>
            </w:r>
            <w:r w:rsidR="006E653E">
              <w:rPr>
                <w:rFonts w:asciiTheme="minorHAnsi" w:hAnsiTheme="minorHAnsi"/>
                <w:sz w:val="22"/>
                <w:szCs w:val="22"/>
              </w:rPr>
              <w:t xml:space="preserve"> společného zájmu</w:t>
            </w:r>
            <w:r w:rsidRPr="009E6F64">
              <w:rPr>
                <w:rFonts w:asciiTheme="minorHAnsi" w:hAnsiTheme="minorHAnsi"/>
                <w:sz w:val="22"/>
                <w:szCs w:val="22"/>
              </w:rPr>
              <w:t xml:space="preserve">, dále </w:t>
            </w:r>
            <w:proofErr w:type="spellStart"/>
            <w:r w:rsidRPr="009E6F64">
              <w:rPr>
                <w:rFonts w:asciiTheme="minorHAnsi" w:hAnsiTheme="minorHAnsi"/>
                <w:sz w:val="22"/>
                <w:szCs w:val="22"/>
              </w:rPr>
              <w:t>komitologického</w:t>
            </w:r>
            <w:proofErr w:type="spellEnd"/>
            <w:r w:rsidRPr="009E6F64">
              <w:rPr>
                <w:rFonts w:asciiTheme="minorHAnsi" w:hAnsiTheme="minorHAnsi"/>
                <w:sz w:val="22"/>
                <w:szCs w:val="22"/>
              </w:rPr>
              <w:t xml:space="preserve"> Výboru pro přeshraniční výměnu elektřiny a jednání </w:t>
            </w:r>
            <w:proofErr w:type="spellStart"/>
            <w:r w:rsidRPr="009E6F64">
              <w:rPr>
                <w:rFonts w:asciiTheme="minorHAnsi" w:hAnsiTheme="minorHAnsi"/>
                <w:sz w:val="22"/>
                <w:szCs w:val="22"/>
              </w:rPr>
              <w:t>Gas</w:t>
            </w:r>
            <w:proofErr w:type="spellEnd"/>
            <w:r w:rsidRPr="009E6F64">
              <w:rPr>
                <w:rFonts w:asciiTheme="minorHAnsi" w:hAnsiTheme="minorHAnsi"/>
                <w:sz w:val="22"/>
                <w:szCs w:val="22"/>
              </w:rPr>
              <w:t xml:space="preserve"> </w:t>
            </w:r>
            <w:proofErr w:type="spellStart"/>
            <w:r w:rsidRPr="009E6F64">
              <w:rPr>
                <w:rFonts w:asciiTheme="minorHAnsi" w:hAnsiTheme="minorHAnsi"/>
                <w:sz w:val="22"/>
                <w:szCs w:val="22"/>
              </w:rPr>
              <w:t>Coordination</w:t>
            </w:r>
            <w:proofErr w:type="spellEnd"/>
            <w:r w:rsidRPr="009E6F64">
              <w:rPr>
                <w:rFonts w:asciiTheme="minorHAnsi" w:hAnsiTheme="minorHAnsi"/>
                <w:sz w:val="22"/>
                <w:szCs w:val="22"/>
              </w:rPr>
              <w:t xml:space="preserve"> Group, na které se koordinují opatření k bezpečnosti dodávek do zemí EU a vyměňují informace o bezpečnosti dodávek s dodavateli a</w:t>
            </w:r>
            <w:r w:rsidR="002F1E7C">
              <w:rPr>
                <w:rFonts w:asciiTheme="minorHAnsi" w:hAnsiTheme="minorHAnsi"/>
                <w:sz w:val="22"/>
                <w:szCs w:val="22"/>
              </w:rPr>
              <w:t> </w:t>
            </w:r>
            <w:r w:rsidRPr="009E6F64">
              <w:rPr>
                <w:rFonts w:asciiTheme="minorHAnsi" w:hAnsiTheme="minorHAnsi"/>
                <w:sz w:val="22"/>
                <w:szCs w:val="22"/>
              </w:rPr>
              <w:t>se spotřebitelskými a tranzitními zeměmi. MPO obsazuje</w:t>
            </w:r>
            <w:r w:rsidR="006E653E">
              <w:rPr>
                <w:rFonts w:asciiTheme="minorHAnsi" w:hAnsiTheme="minorHAnsi"/>
                <w:sz w:val="22"/>
                <w:szCs w:val="22"/>
              </w:rPr>
              <w:t xml:space="preserve"> i</w:t>
            </w:r>
            <w:r w:rsidRPr="009E6F64">
              <w:rPr>
                <w:rFonts w:asciiTheme="minorHAnsi" w:hAnsiTheme="minorHAnsi"/>
                <w:sz w:val="22"/>
                <w:szCs w:val="22"/>
              </w:rPr>
              <w:t xml:space="preserve"> jednání Energetické charty Energetického společ</w:t>
            </w:r>
            <w:r w:rsidR="006E653E">
              <w:rPr>
                <w:rFonts w:asciiTheme="minorHAnsi" w:hAnsiTheme="minorHAnsi"/>
                <w:sz w:val="22"/>
                <w:szCs w:val="22"/>
              </w:rPr>
              <w:t>e</w:t>
            </w:r>
            <w:r w:rsidRPr="009E6F64">
              <w:rPr>
                <w:rFonts w:asciiTheme="minorHAnsi" w:hAnsiTheme="minorHAnsi"/>
                <w:sz w:val="22"/>
                <w:szCs w:val="22"/>
              </w:rPr>
              <w:t>nst</w:t>
            </w:r>
            <w:r w:rsidR="006E653E">
              <w:rPr>
                <w:rFonts w:asciiTheme="minorHAnsi" w:hAnsiTheme="minorHAnsi"/>
                <w:sz w:val="22"/>
                <w:szCs w:val="22"/>
              </w:rPr>
              <w:t>v</w:t>
            </w:r>
            <w:r w:rsidRPr="009E6F64">
              <w:rPr>
                <w:rFonts w:asciiTheme="minorHAnsi" w:hAnsiTheme="minorHAnsi"/>
                <w:sz w:val="22"/>
                <w:szCs w:val="22"/>
              </w:rPr>
              <w:t>í (ES)</w:t>
            </w:r>
            <w:r w:rsidR="006E653E">
              <w:rPr>
                <w:rFonts w:asciiTheme="minorHAnsi" w:hAnsiTheme="minorHAnsi"/>
                <w:sz w:val="22"/>
                <w:szCs w:val="22"/>
              </w:rPr>
              <w:t xml:space="preserve"> a</w:t>
            </w:r>
            <w:r w:rsidRPr="009E6F64">
              <w:rPr>
                <w:rFonts w:asciiTheme="minorHAnsi" w:hAnsiTheme="minorHAnsi"/>
                <w:sz w:val="22"/>
                <w:szCs w:val="22"/>
              </w:rPr>
              <w:t xml:space="preserve"> jednání Řídícího výboru Mezinárodní energetické agentury (IEA). MPO se, společně se SSHR, rovněž pravidelně podílí na činnosti pracovní skupiny, která řeší oblast nouzových zásob ropy. Zástupci MPO se účastní jednání společných pracovních skupin se státy z oblasti Společenství nezávislých států, které jsou významné z hlediska produkce a tranzitu ropy a</w:t>
            </w:r>
            <w:r w:rsidR="002F1E7C">
              <w:rPr>
                <w:rFonts w:asciiTheme="minorHAnsi" w:hAnsiTheme="minorHAnsi"/>
                <w:sz w:val="22"/>
                <w:szCs w:val="22"/>
              </w:rPr>
              <w:t> </w:t>
            </w:r>
            <w:r w:rsidRPr="009E6F64">
              <w:rPr>
                <w:rFonts w:asciiTheme="minorHAnsi" w:hAnsiTheme="minorHAnsi"/>
                <w:sz w:val="22"/>
                <w:szCs w:val="22"/>
              </w:rPr>
              <w:t>zemního plynu, v</w:t>
            </w:r>
            <w:r w:rsidR="009F6C53">
              <w:rPr>
                <w:rFonts w:asciiTheme="minorHAnsi" w:hAnsiTheme="minorHAnsi"/>
                <w:sz w:val="22"/>
                <w:szCs w:val="22"/>
              </w:rPr>
              <w:t> </w:t>
            </w:r>
            <w:r w:rsidRPr="009E6F64">
              <w:rPr>
                <w:rFonts w:asciiTheme="minorHAnsi" w:hAnsiTheme="minorHAnsi"/>
                <w:sz w:val="22"/>
                <w:szCs w:val="22"/>
              </w:rPr>
              <w:t>jejichž rámci probíhá permanentní dialog směřující k</w:t>
            </w:r>
            <w:r w:rsidR="002F1E7C">
              <w:rPr>
                <w:rFonts w:asciiTheme="minorHAnsi" w:hAnsiTheme="minorHAnsi"/>
                <w:sz w:val="22"/>
                <w:szCs w:val="22"/>
              </w:rPr>
              <w:t> </w:t>
            </w:r>
            <w:r w:rsidRPr="009E6F64">
              <w:rPr>
                <w:rFonts w:asciiTheme="minorHAnsi" w:hAnsiTheme="minorHAnsi"/>
                <w:sz w:val="22"/>
                <w:szCs w:val="22"/>
              </w:rPr>
              <w:t>bezpečnosti dodávek a přepravy těchto komodit. MPO dále zajištuje prosazování pozice ČR v oblasti vyjednávání legislativy v oblasti jaderné energetiky, tj. odpovědnost za jaderné škody, ukládání vyhořelého jaderného paliva, notifikace investic v jaderném sektoru či mezinárodních bilaterálních vztahů zejména na úrovni pracovní skupiny Rady EU pro atomové otázky. MPO soustavně prosazuje roli jaderné energetiky jako pilíře dekarbonizace v EU v</w:t>
            </w:r>
            <w:r w:rsidR="002F1E7C">
              <w:rPr>
                <w:rFonts w:asciiTheme="minorHAnsi" w:hAnsiTheme="minorHAnsi"/>
                <w:sz w:val="22"/>
                <w:szCs w:val="22"/>
              </w:rPr>
              <w:t> </w:t>
            </w:r>
            <w:r w:rsidRPr="009E6F64">
              <w:rPr>
                <w:rFonts w:asciiTheme="minorHAnsi" w:hAnsiTheme="minorHAnsi"/>
                <w:sz w:val="22"/>
                <w:szCs w:val="22"/>
              </w:rPr>
              <w:t xml:space="preserve">nejrůznějších strategických či politicky zaměřených materiálech </w:t>
            </w:r>
            <w:r w:rsidR="003A604E">
              <w:rPr>
                <w:rFonts w:asciiTheme="minorHAnsi" w:hAnsiTheme="minorHAnsi"/>
                <w:sz w:val="22"/>
                <w:szCs w:val="22"/>
              </w:rPr>
              <w:t>a</w:t>
            </w:r>
            <w:r w:rsidRPr="009E6F64">
              <w:rPr>
                <w:rFonts w:asciiTheme="minorHAnsi" w:hAnsiTheme="minorHAnsi"/>
                <w:sz w:val="22"/>
                <w:szCs w:val="22"/>
              </w:rPr>
              <w:t xml:space="preserve"> prohlášeních (nelegislativní akty EU či závěry Rady). Taktéž je klíčovým hráčem v</w:t>
            </w:r>
            <w:r w:rsidR="002F1E7C">
              <w:rPr>
                <w:rFonts w:asciiTheme="minorHAnsi" w:hAnsiTheme="minorHAnsi"/>
                <w:sz w:val="22"/>
                <w:szCs w:val="22"/>
              </w:rPr>
              <w:t> </w:t>
            </w:r>
            <w:proofErr w:type="spellStart"/>
            <w:r w:rsidRPr="009E6F64">
              <w:rPr>
                <w:rFonts w:asciiTheme="minorHAnsi" w:hAnsiTheme="minorHAnsi"/>
                <w:sz w:val="22"/>
                <w:szCs w:val="22"/>
              </w:rPr>
              <w:t>like-minded</w:t>
            </w:r>
            <w:proofErr w:type="spellEnd"/>
            <w:r w:rsidRPr="009E6F64">
              <w:rPr>
                <w:rFonts w:asciiTheme="minorHAnsi" w:hAnsiTheme="minorHAnsi"/>
                <w:sz w:val="22"/>
                <w:szCs w:val="22"/>
              </w:rPr>
              <w:t xml:space="preserve"> skupině členských států podporující využívání jaderné energie.</w:t>
            </w:r>
          </w:p>
          <w:p w14:paraId="0594EA20" w14:textId="4EA84029" w:rsidR="00100E1C" w:rsidRPr="009E6F64" w:rsidRDefault="00100E1C" w:rsidP="00B1114F">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lastRenderedPageBreak/>
              <w:t xml:space="preserve">Zástupci ÚV ČR se setkávají s představiteli Evropské komise, jako například s vedoucími kabinetů komisařů zodpovědných za energetiku či s generálním ředitelem pro energetiku. Na této úrovni prosazují zástupci ÚV </w:t>
            </w:r>
            <w:r w:rsidR="00B13B77">
              <w:rPr>
                <w:rFonts w:asciiTheme="minorHAnsi" w:hAnsiTheme="minorHAnsi"/>
                <w:sz w:val="22"/>
                <w:szCs w:val="22"/>
              </w:rPr>
              <w:t xml:space="preserve">ČR </w:t>
            </w:r>
            <w:r>
              <w:rPr>
                <w:rFonts w:asciiTheme="minorHAnsi" w:hAnsiTheme="minorHAnsi"/>
                <w:sz w:val="22"/>
                <w:szCs w:val="22"/>
              </w:rPr>
              <w:t>pozici ČR dle SEK a relevantních schválených rámcových pozic k aktuálním energetickým tématům. Stejně tak se zástupci ÚV</w:t>
            </w:r>
            <w:r w:rsidR="00B13B77">
              <w:rPr>
                <w:rFonts w:asciiTheme="minorHAnsi" w:hAnsiTheme="minorHAnsi"/>
                <w:sz w:val="22"/>
                <w:szCs w:val="22"/>
              </w:rPr>
              <w:t xml:space="preserve"> ČR</w:t>
            </w:r>
            <w:r>
              <w:rPr>
                <w:rFonts w:asciiTheme="minorHAnsi" w:hAnsiTheme="minorHAnsi"/>
                <w:sz w:val="22"/>
                <w:szCs w:val="22"/>
              </w:rPr>
              <w:t xml:space="preserve"> setkávají se svými protějšky v členských zemích EU a prosazují pozici ČR.</w:t>
            </w:r>
          </w:p>
          <w:p w14:paraId="3DE40EEE" w14:textId="77777777" w:rsidR="006E653E" w:rsidRDefault="009E6F64" w:rsidP="00B1114F">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9E6F64">
              <w:rPr>
                <w:rFonts w:asciiTheme="minorHAnsi" w:hAnsiTheme="minorHAnsi"/>
                <w:sz w:val="22"/>
                <w:szCs w:val="22"/>
              </w:rPr>
              <w:t>SÚJB zajišťuje zastupování Č</w:t>
            </w:r>
            <w:r w:rsidR="0029302A">
              <w:rPr>
                <w:rFonts w:asciiTheme="minorHAnsi" w:hAnsiTheme="minorHAnsi"/>
                <w:sz w:val="22"/>
                <w:szCs w:val="22"/>
              </w:rPr>
              <w:t>eské republiky</w:t>
            </w:r>
            <w:r w:rsidRPr="009E6F64">
              <w:rPr>
                <w:rFonts w:asciiTheme="minorHAnsi" w:hAnsiTheme="minorHAnsi"/>
                <w:sz w:val="22"/>
                <w:szCs w:val="22"/>
              </w:rPr>
              <w:t xml:space="preserve"> v otázkách jaderné bezpečnosti a</w:t>
            </w:r>
            <w:r w:rsidR="0029302A">
              <w:rPr>
                <w:rFonts w:asciiTheme="minorHAnsi" w:hAnsiTheme="minorHAnsi"/>
                <w:sz w:val="22"/>
                <w:szCs w:val="22"/>
              </w:rPr>
              <w:t> </w:t>
            </w:r>
            <w:r w:rsidRPr="009E6F64">
              <w:rPr>
                <w:rFonts w:asciiTheme="minorHAnsi" w:hAnsiTheme="minorHAnsi"/>
                <w:sz w:val="22"/>
                <w:szCs w:val="22"/>
              </w:rPr>
              <w:t>regulace v</w:t>
            </w:r>
            <w:r w:rsidR="002F1E7C">
              <w:rPr>
                <w:rFonts w:asciiTheme="minorHAnsi" w:hAnsiTheme="minorHAnsi"/>
                <w:sz w:val="22"/>
                <w:szCs w:val="22"/>
              </w:rPr>
              <w:t> </w:t>
            </w:r>
            <w:r w:rsidRPr="009E6F64">
              <w:rPr>
                <w:rFonts w:asciiTheme="minorHAnsi" w:hAnsiTheme="minorHAnsi"/>
                <w:sz w:val="22"/>
                <w:szCs w:val="22"/>
              </w:rPr>
              <w:t>oblasti jaderné energetiky. V souvislosti s požadavkem na absenci ideologických záměrů a přístupů a na prostý vývoj legislativy a regulace</w:t>
            </w:r>
            <w:r w:rsidR="0029302A">
              <w:rPr>
                <w:rFonts w:asciiTheme="minorHAnsi" w:hAnsiTheme="minorHAnsi"/>
                <w:sz w:val="22"/>
                <w:szCs w:val="22"/>
              </w:rPr>
              <w:t xml:space="preserve"> bylo v roce 2017</w:t>
            </w:r>
            <w:r w:rsidRPr="009E6F64">
              <w:rPr>
                <w:rFonts w:asciiTheme="minorHAnsi" w:hAnsiTheme="minorHAnsi"/>
                <w:sz w:val="22"/>
                <w:szCs w:val="22"/>
              </w:rPr>
              <w:t xml:space="preserve"> </w:t>
            </w:r>
            <w:r w:rsidR="0029302A">
              <w:rPr>
                <w:rFonts w:asciiTheme="minorHAnsi" w:hAnsiTheme="minorHAnsi"/>
                <w:sz w:val="22"/>
                <w:szCs w:val="22"/>
              </w:rPr>
              <w:t xml:space="preserve">dokončeno vydání </w:t>
            </w:r>
            <w:r w:rsidRPr="009E6F64">
              <w:rPr>
                <w:rFonts w:asciiTheme="minorHAnsi" w:hAnsiTheme="minorHAnsi"/>
                <w:sz w:val="22"/>
                <w:szCs w:val="22"/>
              </w:rPr>
              <w:t>soubor</w:t>
            </w:r>
            <w:r w:rsidR="0029302A">
              <w:rPr>
                <w:rFonts w:asciiTheme="minorHAnsi" w:hAnsiTheme="minorHAnsi"/>
                <w:sz w:val="22"/>
                <w:szCs w:val="22"/>
              </w:rPr>
              <w:t>u</w:t>
            </w:r>
            <w:r w:rsidRPr="009E6F64">
              <w:rPr>
                <w:rFonts w:asciiTheme="minorHAnsi" w:hAnsiTheme="minorHAnsi"/>
                <w:sz w:val="22"/>
                <w:szCs w:val="22"/>
              </w:rPr>
              <w:t xml:space="preserve"> prováděcích právních předpisů k zákonu č. 263/2016 Sb., atomový zákon, </w:t>
            </w:r>
            <w:r w:rsidR="0029302A">
              <w:rPr>
                <w:rFonts w:asciiTheme="minorHAnsi" w:hAnsiTheme="minorHAnsi"/>
                <w:sz w:val="22"/>
                <w:szCs w:val="22"/>
              </w:rPr>
              <w:t>jehož znění</w:t>
            </w:r>
            <w:r w:rsidRPr="009E6F64">
              <w:rPr>
                <w:rFonts w:asciiTheme="minorHAnsi" w:hAnsiTheme="minorHAnsi"/>
                <w:sz w:val="22"/>
                <w:szCs w:val="22"/>
              </w:rPr>
              <w:t xml:space="preserve"> vychází z legislativy Evropského společenství pro atomovou energii</w:t>
            </w:r>
            <w:r w:rsidR="0029302A">
              <w:rPr>
                <w:rFonts w:asciiTheme="minorHAnsi" w:hAnsiTheme="minorHAnsi"/>
                <w:sz w:val="22"/>
                <w:szCs w:val="22"/>
              </w:rPr>
              <w:t xml:space="preserve"> (Euratom)</w:t>
            </w:r>
            <w:r w:rsidRPr="009E6F64">
              <w:rPr>
                <w:rFonts w:asciiTheme="minorHAnsi" w:hAnsiTheme="minorHAnsi"/>
                <w:sz w:val="22"/>
                <w:szCs w:val="22"/>
              </w:rPr>
              <w:t xml:space="preserve"> a výlučně odborných a nezávislých mezinárodních standardů mírového využívání jaderné energie a ionizujícího záření, zpracovaných Mezinárodní agenturou pro atomovou energii a WENRA</w:t>
            </w:r>
            <w:r w:rsidR="00D751C8">
              <w:t xml:space="preserve"> </w:t>
            </w:r>
            <w:r w:rsidR="00D751C8" w:rsidRPr="00D751C8">
              <w:rPr>
                <w:rFonts w:asciiTheme="minorHAnsi" w:hAnsiTheme="minorHAnsi"/>
                <w:sz w:val="22"/>
                <w:szCs w:val="22"/>
              </w:rPr>
              <w:t xml:space="preserve">(Western </w:t>
            </w:r>
            <w:proofErr w:type="spellStart"/>
            <w:r w:rsidR="00D751C8" w:rsidRPr="00D751C8">
              <w:rPr>
                <w:rFonts w:asciiTheme="minorHAnsi" w:hAnsiTheme="minorHAnsi"/>
                <w:sz w:val="22"/>
                <w:szCs w:val="22"/>
              </w:rPr>
              <w:t>European</w:t>
            </w:r>
            <w:proofErr w:type="spellEnd"/>
            <w:r w:rsidR="00D751C8" w:rsidRPr="00D751C8">
              <w:rPr>
                <w:rFonts w:asciiTheme="minorHAnsi" w:hAnsiTheme="minorHAnsi"/>
                <w:sz w:val="22"/>
                <w:szCs w:val="22"/>
              </w:rPr>
              <w:t xml:space="preserve"> </w:t>
            </w:r>
            <w:proofErr w:type="spellStart"/>
            <w:r w:rsidR="00D751C8" w:rsidRPr="00D751C8">
              <w:rPr>
                <w:rFonts w:asciiTheme="minorHAnsi" w:hAnsiTheme="minorHAnsi"/>
                <w:sz w:val="22"/>
                <w:szCs w:val="22"/>
              </w:rPr>
              <w:t>Nuclear</w:t>
            </w:r>
            <w:proofErr w:type="spellEnd"/>
            <w:r w:rsidR="00D751C8" w:rsidRPr="00D751C8">
              <w:rPr>
                <w:rFonts w:asciiTheme="minorHAnsi" w:hAnsiTheme="minorHAnsi"/>
                <w:sz w:val="22"/>
                <w:szCs w:val="22"/>
              </w:rPr>
              <w:t xml:space="preserve"> </w:t>
            </w:r>
            <w:proofErr w:type="spellStart"/>
            <w:r w:rsidR="00D751C8" w:rsidRPr="00D751C8">
              <w:rPr>
                <w:rFonts w:asciiTheme="minorHAnsi" w:hAnsiTheme="minorHAnsi"/>
                <w:sz w:val="22"/>
                <w:szCs w:val="22"/>
              </w:rPr>
              <w:t>Regulators</w:t>
            </w:r>
            <w:proofErr w:type="spellEnd"/>
            <w:r w:rsidR="00D751C8" w:rsidRPr="00D751C8">
              <w:rPr>
                <w:rFonts w:asciiTheme="minorHAnsi" w:hAnsiTheme="minorHAnsi"/>
                <w:sz w:val="22"/>
                <w:szCs w:val="22"/>
              </w:rPr>
              <w:t xml:space="preserve"> </w:t>
            </w:r>
            <w:proofErr w:type="spellStart"/>
            <w:r w:rsidR="00D751C8" w:rsidRPr="00D751C8">
              <w:rPr>
                <w:rFonts w:asciiTheme="minorHAnsi" w:hAnsiTheme="minorHAnsi"/>
                <w:sz w:val="22"/>
                <w:szCs w:val="22"/>
              </w:rPr>
              <w:t>Association</w:t>
            </w:r>
            <w:proofErr w:type="spellEnd"/>
            <w:r w:rsidR="00D751C8" w:rsidRPr="00D751C8">
              <w:rPr>
                <w:rFonts w:asciiTheme="minorHAnsi" w:hAnsiTheme="minorHAnsi"/>
                <w:sz w:val="22"/>
                <w:szCs w:val="22"/>
              </w:rPr>
              <w:t>)</w:t>
            </w:r>
            <w:r w:rsidRPr="009E6F64">
              <w:rPr>
                <w:rFonts w:asciiTheme="minorHAnsi" w:hAnsiTheme="minorHAnsi"/>
                <w:sz w:val="22"/>
                <w:szCs w:val="22"/>
              </w:rPr>
              <w:t>.</w:t>
            </w:r>
            <w:r w:rsidR="00A51FA7">
              <w:rPr>
                <w:rFonts w:asciiTheme="minorHAnsi" w:hAnsiTheme="minorHAnsi"/>
                <w:sz w:val="22"/>
                <w:szCs w:val="22"/>
              </w:rPr>
              <w:t xml:space="preserve"> Na tvorbu nové legislativy pak navazuje i metodická a podpůrná činnost vůči adresátům nových předpisů a veřejnosti, která je také koncipována na výlučně neideologickém a odborném základě.</w:t>
            </w:r>
            <w:r w:rsidRPr="009E6F64">
              <w:rPr>
                <w:rFonts w:asciiTheme="minorHAnsi" w:hAnsiTheme="minorHAnsi"/>
                <w:sz w:val="22"/>
                <w:szCs w:val="22"/>
              </w:rPr>
              <w:t xml:space="preserve"> SÚJB se současně odborně podílí na práci těchto mezinárodních organizací prostřednictvím svých zástupců a zastupuje zájmy ČR při vytváření mezinárodního soft </w:t>
            </w:r>
            <w:proofErr w:type="spellStart"/>
            <w:r w:rsidRPr="009E6F64">
              <w:rPr>
                <w:rFonts w:asciiTheme="minorHAnsi" w:hAnsiTheme="minorHAnsi"/>
                <w:sz w:val="22"/>
                <w:szCs w:val="22"/>
              </w:rPr>
              <w:t>law</w:t>
            </w:r>
            <w:proofErr w:type="spellEnd"/>
            <w:r w:rsidRPr="009E6F64">
              <w:rPr>
                <w:rFonts w:asciiTheme="minorHAnsi" w:hAnsiTheme="minorHAnsi"/>
                <w:sz w:val="22"/>
                <w:szCs w:val="22"/>
              </w:rPr>
              <w:t>, ale i</w:t>
            </w:r>
            <w:r w:rsidR="002F1E7C">
              <w:rPr>
                <w:rFonts w:asciiTheme="minorHAnsi" w:hAnsiTheme="minorHAnsi"/>
                <w:sz w:val="22"/>
                <w:szCs w:val="22"/>
              </w:rPr>
              <w:t> </w:t>
            </w:r>
            <w:r w:rsidRPr="009E6F64">
              <w:rPr>
                <w:rFonts w:asciiTheme="minorHAnsi" w:hAnsiTheme="minorHAnsi"/>
                <w:sz w:val="22"/>
                <w:szCs w:val="22"/>
              </w:rPr>
              <w:t>mezinárodních smluv.</w:t>
            </w:r>
            <w:r w:rsidR="00D027DC">
              <w:rPr>
                <w:rFonts w:asciiTheme="minorHAnsi" w:hAnsiTheme="minorHAnsi"/>
                <w:sz w:val="22"/>
                <w:szCs w:val="22"/>
              </w:rPr>
              <w:t xml:space="preserve"> SÚJB se od roku 2017 rovněž podílí na</w:t>
            </w:r>
            <w:r w:rsidR="00D751C8">
              <w:rPr>
                <w:rFonts w:asciiTheme="minorHAnsi" w:hAnsiTheme="minorHAnsi"/>
                <w:sz w:val="22"/>
                <w:szCs w:val="22"/>
              </w:rPr>
              <w:t xml:space="preserve"> činnosti</w:t>
            </w:r>
            <w:r w:rsidR="00D027DC">
              <w:rPr>
                <w:rFonts w:asciiTheme="minorHAnsi" w:hAnsiTheme="minorHAnsi"/>
                <w:sz w:val="22"/>
                <w:szCs w:val="22"/>
              </w:rPr>
              <w:t xml:space="preserve"> ad hoc pracovní skupin</w:t>
            </w:r>
            <w:r w:rsidR="00D751C8">
              <w:rPr>
                <w:rFonts w:asciiTheme="minorHAnsi" w:hAnsiTheme="minorHAnsi"/>
                <w:sz w:val="22"/>
                <w:szCs w:val="22"/>
              </w:rPr>
              <w:t>y</w:t>
            </w:r>
            <w:r w:rsidR="00D027DC">
              <w:rPr>
                <w:rFonts w:asciiTheme="minorHAnsi" w:hAnsiTheme="minorHAnsi"/>
                <w:sz w:val="22"/>
                <w:szCs w:val="22"/>
              </w:rPr>
              <w:t xml:space="preserve"> v rámci </w:t>
            </w:r>
            <w:r w:rsidR="00D751C8">
              <w:rPr>
                <w:rFonts w:asciiTheme="minorHAnsi" w:hAnsiTheme="minorHAnsi"/>
                <w:sz w:val="22"/>
                <w:szCs w:val="22"/>
              </w:rPr>
              <w:t xml:space="preserve">tzv. </w:t>
            </w:r>
            <w:proofErr w:type="spellStart"/>
            <w:r w:rsidR="00D027DC">
              <w:rPr>
                <w:rFonts w:asciiTheme="minorHAnsi" w:hAnsiTheme="minorHAnsi"/>
                <w:sz w:val="22"/>
                <w:szCs w:val="22"/>
              </w:rPr>
              <w:t>Espoo</w:t>
            </w:r>
            <w:proofErr w:type="spellEnd"/>
            <w:r w:rsidR="00D027DC">
              <w:rPr>
                <w:rFonts w:asciiTheme="minorHAnsi" w:hAnsiTheme="minorHAnsi"/>
                <w:sz w:val="22"/>
                <w:szCs w:val="22"/>
              </w:rPr>
              <w:t xml:space="preserve"> úmluvy (Úmluva o posuzování vlivů na životní prostředí přesahujících hranice států), která se zabývá vypracováním kritérií pro určování, zda prodloužení životnosti jaderných elektráren podléhá procesu posuzování vlivů na životní prostředí, v zájmu odstranění překážek mírového využívání jaderné energie v energetické oblasti.</w:t>
            </w:r>
            <w:r w:rsidR="00A51FA7">
              <w:rPr>
                <w:rFonts w:asciiTheme="minorHAnsi" w:hAnsiTheme="minorHAnsi"/>
                <w:sz w:val="22"/>
                <w:szCs w:val="22"/>
              </w:rPr>
              <w:t xml:space="preserve"> Odborné zájmy jaderné energetiky z hlediska zajišťování její bezpečnosti zajišťuje SÚJB také svými zástupci v orgánech Organizace pro hospodářskou </w:t>
            </w:r>
            <w:proofErr w:type="spellStart"/>
            <w:r w:rsidR="00A51FA7">
              <w:rPr>
                <w:rFonts w:asciiTheme="minorHAnsi" w:hAnsiTheme="minorHAnsi"/>
                <w:sz w:val="22"/>
                <w:szCs w:val="22"/>
              </w:rPr>
              <w:t>splupráci</w:t>
            </w:r>
            <w:proofErr w:type="spellEnd"/>
            <w:r w:rsidR="00A51FA7">
              <w:rPr>
                <w:rFonts w:asciiTheme="minorHAnsi" w:hAnsiTheme="minorHAnsi"/>
                <w:sz w:val="22"/>
                <w:szCs w:val="22"/>
              </w:rPr>
              <w:t xml:space="preserve"> a rozvoj, jmenovitě její </w:t>
            </w:r>
            <w:proofErr w:type="spellStart"/>
            <w:r w:rsidR="00A51FA7">
              <w:rPr>
                <w:rFonts w:asciiTheme="minorHAnsi" w:hAnsiTheme="minorHAnsi"/>
                <w:sz w:val="22"/>
                <w:szCs w:val="22"/>
              </w:rPr>
              <w:t>Nuclear</w:t>
            </w:r>
            <w:proofErr w:type="spellEnd"/>
            <w:r w:rsidR="00A51FA7">
              <w:rPr>
                <w:rFonts w:asciiTheme="minorHAnsi" w:hAnsiTheme="minorHAnsi"/>
                <w:sz w:val="22"/>
                <w:szCs w:val="22"/>
              </w:rPr>
              <w:t xml:space="preserve"> </w:t>
            </w:r>
            <w:proofErr w:type="spellStart"/>
            <w:r w:rsidR="00A51FA7">
              <w:rPr>
                <w:rFonts w:asciiTheme="minorHAnsi" w:hAnsiTheme="minorHAnsi"/>
                <w:sz w:val="22"/>
                <w:szCs w:val="22"/>
              </w:rPr>
              <w:t>Energy</w:t>
            </w:r>
            <w:proofErr w:type="spellEnd"/>
            <w:r w:rsidR="00A51FA7">
              <w:rPr>
                <w:rFonts w:asciiTheme="minorHAnsi" w:hAnsiTheme="minorHAnsi"/>
                <w:sz w:val="22"/>
                <w:szCs w:val="22"/>
              </w:rPr>
              <w:t xml:space="preserve"> </w:t>
            </w:r>
            <w:proofErr w:type="spellStart"/>
            <w:r w:rsidR="00A51FA7">
              <w:rPr>
                <w:rFonts w:asciiTheme="minorHAnsi" w:hAnsiTheme="minorHAnsi"/>
                <w:sz w:val="22"/>
                <w:szCs w:val="22"/>
              </w:rPr>
              <w:t>Agency</w:t>
            </w:r>
            <w:proofErr w:type="spellEnd"/>
            <w:r w:rsidR="00A51FA7">
              <w:rPr>
                <w:rFonts w:asciiTheme="minorHAnsi" w:hAnsiTheme="minorHAnsi"/>
                <w:sz w:val="22"/>
                <w:szCs w:val="22"/>
              </w:rPr>
              <w:t>. Společné postoje V4 v</w:t>
            </w:r>
            <w:r w:rsidR="00423552">
              <w:rPr>
                <w:rFonts w:asciiTheme="minorHAnsi" w:hAnsiTheme="minorHAnsi"/>
                <w:sz w:val="22"/>
                <w:szCs w:val="22"/>
              </w:rPr>
              <w:t xml:space="preserve"> oblasti </w:t>
            </w:r>
            <w:r w:rsidR="00A51FA7">
              <w:rPr>
                <w:rFonts w:asciiTheme="minorHAnsi" w:hAnsiTheme="minorHAnsi"/>
                <w:sz w:val="22"/>
                <w:szCs w:val="22"/>
              </w:rPr>
              <w:t xml:space="preserve">zajišťování jaderné bezpečnosti jsou docilovány a udržovány formou pravidelných bilaterálních a </w:t>
            </w:r>
            <w:proofErr w:type="spellStart"/>
            <w:r w:rsidR="00A51FA7">
              <w:rPr>
                <w:rFonts w:asciiTheme="minorHAnsi" w:hAnsiTheme="minorHAnsi"/>
                <w:sz w:val="22"/>
                <w:szCs w:val="22"/>
              </w:rPr>
              <w:t>quadrilaterálních</w:t>
            </w:r>
            <w:proofErr w:type="spellEnd"/>
            <w:r w:rsidR="00A51FA7">
              <w:rPr>
                <w:rFonts w:asciiTheme="minorHAnsi" w:hAnsiTheme="minorHAnsi"/>
                <w:sz w:val="22"/>
                <w:szCs w:val="22"/>
              </w:rPr>
              <w:t xml:space="preserve"> jednání mezi dozorovými orgány za účasti SÚJB.</w:t>
            </w:r>
          </w:p>
          <w:p w14:paraId="3C4CBEC9" w14:textId="79F804E5" w:rsidR="009E6F64" w:rsidRPr="009E6F64" w:rsidRDefault="009F6C53" w:rsidP="00B1114F">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Pr>
                <w:rFonts w:asciiTheme="minorHAnsi" w:hAnsiTheme="minorHAnsi"/>
                <w:sz w:val="22"/>
                <w:szCs w:val="22"/>
              </w:rPr>
              <w:t>V</w:t>
            </w:r>
            <w:r w:rsidRPr="004843E0">
              <w:rPr>
                <w:rFonts w:asciiTheme="minorHAnsi" w:hAnsiTheme="minorHAnsi"/>
                <w:sz w:val="22"/>
                <w:szCs w:val="22"/>
              </w:rPr>
              <w:t> </w:t>
            </w:r>
            <w:r w:rsidR="00DF0273">
              <w:rPr>
                <w:rFonts w:asciiTheme="minorHAnsi" w:hAnsiTheme="minorHAnsi"/>
                <w:sz w:val="22"/>
                <w:szCs w:val="22"/>
              </w:rPr>
              <w:t>oblasti</w:t>
            </w:r>
            <w:r w:rsidRPr="004843E0">
              <w:rPr>
                <w:rFonts w:asciiTheme="minorHAnsi" w:hAnsiTheme="minorHAnsi"/>
                <w:sz w:val="22"/>
                <w:szCs w:val="22"/>
              </w:rPr>
              <w:t xml:space="preserve"> komunikace s významnými producentskými </w:t>
            </w:r>
            <w:r>
              <w:rPr>
                <w:rFonts w:asciiTheme="minorHAnsi" w:hAnsiTheme="minorHAnsi"/>
                <w:sz w:val="22"/>
                <w:szCs w:val="22"/>
              </w:rPr>
              <w:t>zeměmi</w:t>
            </w:r>
            <w:r w:rsidR="00DF0273">
              <w:rPr>
                <w:rFonts w:asciiTheme="minorHAnsi" w:hAnsiTheme="minorHAnsi"/>
                <w:sz w:val="22"/>
                <w:szCs w:val="22"/>
              </w:rPr>
              <w:t>,</w:t>
            </w:r>
            <w:r>
              <w:rPr>
                <w:rFonts w:asciiTheme="minorHAnsi" w:hAnsiTheme="minorHAnsi"/>
                <w:sz w:val="22"/>
                <w:szCs w:val="22"/>
              </w:rPr>
              <w:t xml:space="preserve"> zejména</w:t>
            </w:r>
            <w:r w:rsidR="006E653E">
              <w:rPr>
                <w:rFonts w:asciiTheme="minorHAnsi" w:hAnsiTheme="minorHAnsi"/>
                <w:sz w:val="22"/>
                <w:szCs w:val="22"/>
              </w:rPr>
              <w:t xml:space="preserve"> potom</w:t>
            </w:r>
            <w:r>
              <w:rPr>
                <w:rFonts w:asciiTheme="minorHAnsi" w:hAnsiTheme="minorHAnsi"/>
                <w:sz w:val="22"/>
                <w:szCs w:val="22"/>
              </w:rPr>
              <w:t xml:space="preserve"> s ohledem na ropu a zemní plyn</w:t>
            </w:r>
            <w:r w:rsidRPr="004843E0">
              <w:rPr>
                <w:rFonts w:asciiTheme="minorHAnsi" w:hAnsiTheme="minorHAnsi"/>
                <w:sz w:val="22"/>
                <w:szCs w:val="22"/>
              </w:rPr>
              <w:t xml:space="preserve"> (Ruská federace, </w:t>
            </w:r>
            <w:r w:rsidR="006E653E">
              <w:rPr>
                <w:rFonts w:asciiTheme="minorHAnsi" w:hAnsiTheme="minorHAnsi"/>
                <w:sz w:val="22"/>
                <w:szCs w:val="22"/>
              </w:rPr>
              <w:t>Á</w:t>
            </w:r>
            <w:r w:rsidRPr="004843E0">
              <w:rPr>
                <w:rFonts w:asciiTheme="minorHAnsi" w:hAnsiTheme="minorHAnsi"/>
                <w:sz w:val="22"/>
                <w:szCs w:val="22"/>
              </w:rPr>
              <w:t>zerb</w:t>
            </w:r>
            <w:r w:rsidR="006E653E">
              <w:rPr>
                <w:rFonts w:asciiTheme="minorHAnsi" w:hAnsiTheme="minorHAnsi"/>
                <w:sz w:val="22"/>
                <w:szCs w:val="22"/>
              </w:rPr>
              <w:t>á</w:t>
            </w:r>
            <w:r w:rsidRPr="004843E0">
              <w:rPr>
                <w:rFonts w:asciiTheme="minorHAnsi" w:hAnsiTheme="minorHAnsi"/>
                <w:sz w:val="22"/>
                <w:szCs w:val="22"/>
              </w:rPr>
              <w:t>jdžán</w:t>
            </w:r>
            <w:r w:rsidR="006E653E">
              <w:rPr>
                <w:rFonts w:asciiTheme="minorHAnsi" w:hAnsiTheme="minorHAnsi"/>
                <w:sz w:val="22"/>
                <w:szCs w:val="22"/>
              </w:rPr>
              <w:t xml:space="preserve"> a</w:t>
            </w:r>
            <w:r w:rsidRPr="004843E0">
              <w:rPr>
                <w:rFonts w:asciiTheme="minorHAnsi" w:hAnsiTheme="minorHAnsi"/>
                <w:sz w:val="22"/>
                <w:szCs w:val="22"/>
              </w:rPr>
              <w:t xml:space="preserve"> Kazachstán)</w:t>
            </w:r>
            <w:r w:rsidR="006E653E">
              <w:rPr>
                <w:rFonts w:asciiTheme="minorHAnsi" w:hAnsiTheme="minorHAnsi"/>
                <w:sz w:val="22"/>
                <w:szCs w:val="22"/>
              </w:rPr>
              <w:t>,</w:t>
            </w:r>
            <w:r w:rsidRPr="004843E0">
              <w:rPr>
                <w:rFonts w:asciiTheme="minorHAnsi" w:hAnsiTheme="minorHAnsi"/>
                <w:sz w:val="22"/>
                <w:szCs w:val="22"/>
              </w:rPr>
              <w:t xml:space="preserve"> a</w:t>
            </w:r>
            <w:r w:rsidR="006E653E">
              <w:rPr>
                <w:rFonts w:asciiTheme="minorHAnsi" w:hAnsiTheme="minorHAnsi"/>
                <w:sz w:val="22"/>
                <w:szCs w:val="22"/>
              </w:rPr>
              <w:t> </w:t>
            </w:r>
            <w:r w:rsidRPr="004843E0">
              <w:rPr>
                <w:rFonts w:asciiTheme="minorHAnsi" w:hAnsiTheme="minorHAnsi"/>
                <w:sz w:val="22"/>
                <w:szCs w:val="22"/>
              </w:rPr>
              <w:t>tranzitními státy (Ukrajina a Bělorusko)</w:t>
            </w:r>
            <w:r w:rsidR="00DF0273">
              <w:rPr>
                <w:rFonts w:asciiTheme="minorHAnsi" w:hAnsiTheme="minorHAnsi"/>
                <w:sz w:val="22"/>
                <w:szCs w:val="22"/>
              </w:rPr>
              <w:t>,</w:t>
            </w:r>
            <w:r w:rsidRPr="004843E0">
              <w:rPr>
                <w:rFonts w:asciiTheme="minorHAnsi" w:hAnsiTheme="minorHAnsi"/>
                <w:sz w:val="22"/>
                <w:szCs w:val="22"/>
              </w:rPr>
              <w:t xml:space="preserve"> má </w:t>
            </w:r>
            <w:r w:rsidR="008B43EE">
              <w:rPr>
                <w:rFonts w:asciiTheme="minorHAnsi" w:hAnsiTheme="minorHAnsi"/>
                <w:sz w:val="22"/>
                <w:szCs w:val="22"/>
              </w:rPr>
              <w:t xml:space="preserve">energetika </w:t>
            </w:r>
            <w:r w:rsidR="006E653E">
              <w:rPr>
                <w:rFonts w:asciiTheme="minorHAnsi" w:hAnsiTheme="minorHAnsi"/>
                <w:sz w:val="22"/>
                <w:szCs w:val="22"/>
              </w:rPr>
              <w:t xml:space="preserve">také </w:t>
            </w:r>
            <w:r w:rsidR="008B43EE">
              <w:rPr>
                <w:rFonts w:asciiTheme="minorHAnsi" w:hAnsiTheme="minorHAnsi"/>
                <w:sz w:val="22"/>
                <w:szCs w:val="22"/>
              </w:rPr>
              <w:t xml:space="preserve">významné místo </w:t>
            </w:r>
            <w:r w:rsidRPr="004843E0">
              <w:rPr>
                <w:rFonts w:asciiTheme="minorHAnsi" w:hAnsiTheme="minorHAnsi"/>
                <w:sz w:val="22"/>
                <w:szCs w:val="22"/>
              </w:rPr>
              <w:t xml:space="preserve">v rámci pravidelného zasedání Mezivládních komisí </w:t>
            </w:r>
            <w:r w:rsidR="008B43EE">
              <w:rPr>
                <w:rFonts w:asciiTheme="minorHAnsi" w:hAnsiTheme="minorHAnsi"/>
                <w:sz w:val="22"/>
                <w:szCs w:val="22"/>
              </w:rPr>
              <w:t>a E</w:t>
            </w:r>
            <w:r w:rsidRPr="004843E0">
              <w:rPr>
                <w:rFonts w:asciiTheme="minorHAnsi" w:hAnsiTheme="minorHAnsi"/>
                <w:sz w:val="22"/>
                <w:szCs w:val="22"/>
              </w:rPr>
              <w:t>nergetick</w:t>
            </w:r>
            <w:r w:rsidR="008B43EE">
              <w:rPr>
                <w:rFonts w:asciiTheme="minorHAnsi" w:hAnsiTheme="minorHAnsi"/>
                <w:sz w:val="22"/>
                <w:szCs w:val="22"/>
              </w:rPr>
              <w:t>ého</w:t>
            </w:r>
            <w:r w:rsidRPr="004843E0">
              <w:rPr>
                <w:rFonts w:asciiTheme="minorHAnsi" w:hAnsiTheme="minorHAnsi"/>
                <w:sz w:val="22"/>
                <w:szCs w:val="22"/>
              </w:rPr>
              <w:t xml:space="preserve"> dialog</w:t>
            </w:r>
            <w:r w:rsidR="008B43EE">
              <w:rPr>
                <w:rFonts w:asciiTheme="minorHAnsi" w:hAnsiTheme="minorHAnsi"/>
                <w:sz w:val="22"/>
                <w:szCs w:val="22"/>
              </w:rPr>
              <w:t>u</w:t>
            </w:r>
            <w:r w:rsidR="006E653E">
              <w:rPr>
                <w:rFonts w:asciiTheme="minorHAnsi" w:hAnsiTheme="minorHAnsi"/>
                <w:sz w:val="22"/>
                <w:szCs w:val="22"/>
              </w:rPr>
              <w:t>, přičemž v</w:t>
            </w:r>
            <w:r w:rsidRPr="004843E0">
              <w:rPr>
                <w:rFonts w:asciiTheme="minorHAnsi" w:hAnsiTheme="minorHAnsi"/>
                <w:sz w:val="22"/>
                <w:szCs w:val="22"/>
              </w:rPr>
              <w:t> některý</w:t>
            </w:r>
            <w:r w:rsidR="00DF0273">
              <w:rPr>
                <w:rFonts w:asciiTheme="minorHAnsi" w:hAnsiTheme="minorHAnsi"/>
                <w:sz w:val="22"/>
                <w:szCs w:val="22"/>
              </w:rPr>
              <w:t>ch</w:t>
            </w:r>
            <w:r w:rsidRPr="004843E0">
              <w:rPr>
                <w:rFonts w:asciiTheme="minorHAnsi" w:hAnsiTheme="minorHAnsi"/>
                <w:sz w:val="22"/>
                <w:szCs w:val="22"/>
              </w:rPr>
              <w:t xml:space="preserve"> případech je navíc tento dialog posílen formou </w:t>
            </w:r>
            <w:r w:rsidR="00DF0273">
              <w:rPr>
                <w:rFonts w:asciiTheme="minorHAnsi" w:hAnsiTheme="minorHAnsi"/>
                <w:sz w:val="22"/>
                <w:szCs w:val="22"/>
              </w:rPr>
              <w:t xml:space="preserve">činnosti </w:t>
            </w:r>
            <w:r w:rsidRPr="004843E0">
              <w:rPr>
                <w:rFonts w:asciiTheme="minorHAnsi" w:hAnsiTheme="minorHAnsi"/>
                <w:sz w:val="22"/>
                <w:szCs w:val="22"/>
              </w:rPr>
              <w:t>specializovaných pracovních skupin zaměřených na spolupráci v energetice.</w:t>
            </w:r>
          </w:p>
          <w:p w14:paraId="67400AFF" w14:textId="1ED36CA0" w:rsidR="009E6F64" w:rsidRPr="009E6F64" w:rsidRDefault="009E6F64" w:rsidP="00B1114F">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9E6F64">
              <w:rPr>
                <w:rFonts w:asciiTheme="minorHAnsi" w:hAnsiTheme="minorHAnsi"/>
                <w:sz w:val="22"/>
                <w:szCs w:val="22"/>
              </w:rPr>
              <w:t>MZV řeší úkoly přidělené v této oblasti průběžně a dlouhodobě formou konzultací, multilaterálních jednání a</w:t>
            </w:r>
            <w:r w:rsidR="008B43EE">
              <w:rPr>
                <w:rFonts w:asciiTheme="minorHAnsi" w:hAnsiTheme="minorHAnsi"/>
                <w:sz w:val="22"/>
                <w:szCs w:val="22"/>
              </w:rPr>
              <w:t xml:space="preserve"> formou</w:t>
            </w:r>
            <w:r w:rsidRPr="009E6F64">
              <w:rPr>
                <w:rFonts w:asciiTheme="minorHAnsi" w:hAnsiTheme="minorHAnsi"/>
                <w:sz w:val="22"/>
                <w:szCs w:val="22"/>
              </w:rPr>
              <w:t xml:space="preserve"> pomoci konkrétním projektům a</w:t>
            </w:r>
            <w:r w:rsidR="002F1E7C">
              <w:rPr>
                <w:rFonts w:asciiTheme="minorHAnsi" w:hAnsiTheme="minorHAnsi"/>
                <w:sz w:val="22"/>
                <w:szCs w:val="22"/>
              </w:rPr>
              <w:t> </w:t>
            </w:r>
            <w:r w:rsidRPr="009E6F64">
              <w:rPr>
                <w:rFonts w:asciiTheme="minorHAnsi" w:hAnsiTheme="minorHAnsi"/>
                <w:sz w:val="22"/>
                <w:szCs w:val="22"/>
              </w:rPr>
              <w:t>subjektům v energetice, a to jak v rámci subjektů a orgánů státní správy v ČR, tak i v zahraničí.</w:t>
            </w:r>
          </w:p>
          <w:p w14:paraId="1EF2BAA5" w14:textId="1887C433" w:rsidR="009E6F64" w:rsidRPr="009E6F64" w:rsidRDefault="009E6F64" w:rsidP="00B1114F">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9E6F64">
              <w:rPr>
                <w:rFonts w:asciiTheme="minorHAnsi" w:hAnsiTheme="minorHAnsi"/>
                <w:sz w:val="22"/>
                <w:szCs w:val="22"/>
              </w:rPr>
              <w:t>ERÚ zastupuje ČR v pracovních skupinách EK, ACER a CEER, kde</w:t>
            </w:r>
            <w:r w:rsidR="00FD0A98">
              <w:rPr>
                <w:rFonts w:asciiTheme="minorHAnsi" w:hAnsiTheme="minorHAnsi"/>
                <w:sz w:val="22"/>
                <w:szCs w:val="22"/>
              </w:rPr>
              <w:t xml:space="preserve"> </w:t>
            </w:r>
            <w:r w:rsidR="00FD0A98" w:rsidRPr="00FD0A98">
              <w:rPr>
                <w:rFonts w:asciiTheme="minorHAnsi" w:hAnsiTheme="minorHAnsi"/>
                <w:sz w:val="22"/>
                <w:szCs w:val="22"/>
              </w:rPr>
              <w:t>se podílí na vytváření evropské energetické legislativy</w:t>
            </w:r>
            <w:r w:rsidR="00CB16ED">
              <w:rPr>
                <w:rFonts w:asciiTheme="minorHAnsi" w:hAnsiTheme="minorHAnsi"/>
                <w:sz w:val="22"/>
                <w:szCs w:val="22"/>
              </w:rPr>
              <w:t xml:space="preserve"> a hodnocení projektů PCI</w:t>
            </w:r>
            <w:r w:rsidR="00FD0A98" w:rsidRPr="00FD0A98">
              <w:rPr>
                <w:rFonts w:asciiTheme="minorHAnsi" w:hAnsiTheme="minorHAnsi"/>
                <w:sz w:val="22"/>
                <w:szCs w:val="22"/>
              </w:rPr>
              <w:t>, přičemž</w:t>
            </w:r>
            <w:r w:rsidRPr="009E6F64">
              <w:rPr>
                <w:rFonts w:asciiTheme="minorHAnsi" w:hAnsiTheme="minorHAnsi"/>
                <w:sz w:val="22"/>
                <w:szCs w:val="22"/>
              </w:rPr>
              <w:t xml:space="preserve"> hájí zájmy ČR a</w:t>
            </w:r>
            <w:r w:rsidR="002F1E7C">
              <w:rPr>
                <w:rFonts w:asciiTheme="minorHAnsi" w:hAnsiTheme="minorHAnsi"/>
                <w:sz w:val="22"/>
                <w:szCs w:val="22"/>
              </w:rPr>
              <w:t> </w:t>
            </w:r>
            <w:r w:rsidRPr="009E6F64">
              <w:rPr>
                <w:rFonts w:asciiTheme="minorHAnsi" w:hAnsiTheme="minorHAnsi"/>
                <w:sz w:val="22"/>
                <w:szCs w:val="22"/>
              </w:rPr>
              <w:t>podporuje integraci trhů s energiemi.</w:t>
            </w:r>
            <w:r w:rsidR="00FD0A98">
              <w:rPr>
                <w:rFonts w:asciiTheme="minorHAnsi" w:hAnsiTheme="minorHAnsi"/>
                <w:sz w:val="22"/>
                <w:szCs w:val="22"/>
              </w:rPr>
              <w:t xml:space="preserve"> Zástupci ERÚ se pravidelně účastní Madridského fóra (</w:t>
            </w:r>
            <w:r w:rsidR="00CB16ED">
              <w:rPr>
                <w:rFonts w:asciiTheme="minorHAnsi" w:hAnsiTheme="minorHAnsi"/>
                <w:sz w:val="22"/>
                <w:szCs w:val="22"/>
              </w:rPr>
              <w:t xml:space="preserve">v oblasti </w:t>
            </w:r>
            <w:r w:rsidR="00FD0A98">
              <w:rPr>
                <w:rFonts w:asciiTheme="minorHAnsi" w:hAnsiTheme="minorHAnsi"/>
                <w:sz w:val="22"/>
                <w:szCs w:val="22"/>
              </w:rPr>
              <w:t>plyn</w:t>
            </w:r>
            <w:r w:rsidR="00D751C8">
              <w:rPr>
                <w:rFonts w:asciiTheme="minorHAnsi" w:hAnsiTheme="minorHAnsi"/>
                <w:sz w:val="22"/>
                <w:szCs w:val="22"/>
              </w:rPr>
              <w:t>árenství</w:t>
            </w:r>
            <w:r w:rsidR="00FD0A98">
              <w:rPr>
                <w:rFonts w:asciiTheme="minorHAnsi" w:hAnsiTheme="minorHAnsi"/>
                <w:sz w:val="22"/>
                <w:szCs w:val="22"/>
              </w:rPr>
              <w:t>) a Florentského fóra (</w:t>
            </w:r>
            <w:r w:rsidR="00CB16ED">
              <w:rPr>
                <w:rFonts w:asciiTheme="minorHAnsi" w:hAnsiTheme="minorHAnsi"/>
                <w:sz w:val="22"/>
                <w:szCs w:val="22"/>
              </w:rPr>
              <w:t xml:space="preserve">v oblasti </w:t>
            </w:r>
            <w:r w:rsidR="00FD0A98">
              <w:rPr>
                <w:rFonts w:asciiTheme="minorHAnsi" w:hAnsiTheme="minorHAnsi"/>
                <w:sz w:val="22"/>
                <w:szCs w:val="22"/>
              </w:rPr>
              <w:t>elektroenergetik</w:t>
            </w:r>
            <w:r w:rsidR="00CB16ED">
              <w:rPr>
                <w:rFonts w:asciiTheme="minorHAnsi" w:hAnsiTheme="minorHAnsi"/>
                <w:sz w:val="22"/>
                <w:szCs w:val="22"/>
              </w:rPr>
              <w:t>y</w:t>
            </w:r>
            <w:r w:rsidR="00FD0A98">
              <w:rPr>
                <w:rFonts w:asciiTheme="minorHAnsi" w:hAnsiTheme="minorHAnsi"/>
                <w:sz w:val="22"/>
                <w:szCs w:val="22"/>
              </w:rPr>
              <w:t>), kde se diskutuje aktuální stav a trendy vývoje týkající se vnitřního trhu s energiemi. ERÚ dále participuje na Kodaňském infrastrukturním fóru</w:t>
            </w:r>
            <w:r w:rsidR="00CB50AA">
              <w:rPr>
                <w:rFonts w:asciiTheme="minorHAnsi" w:hAnsiTheme="minorHAnsi"/>
                <w:sz w:val="22"/>
                <w:szCs w:val="22"/>
              </w:rPr>
              <w:t>,</w:t>
            </w:r>
            <w:r w:rsidR="00FD0A98">
              <w:rPr>
                <w:rFonts w:asciiTheme="minorHAnsi" w:hAnsiTheme="minorHAnsi"/>
                <w:sz w:val="22"/>
                <w:szCs w:val="22"/>
              </w:rPr>
              <w:t xml:space="preserve"> inicioval vznik tzv. fóra regulátorů zemí V4 a</w:t>
            </w:r>
            <w:r w:rsidR="00CB50AA">
              <w:rPr>
                <w:rFonts w:asciiTheme="minorHAnsi" w:hAnsiTheme="minorHAnsi"/>
                <w:sz w:val="22"/>
                <w:szCs w:val="22"/>
              </w:rPr>
              <w:t> </w:t>
            </w:r>
            <w:r w:rsidR="00FD0A98">
              <w:rPr>
                <w:rFonts w:asciiTheme="minorHAnsi" w:hAnsiTheme="minorHAnsi"/>
                <w:sz w:val="22"/>
                <w:szCs w:val="22"/>
              </w:rPr>
              <w:t xml:space="preserve">dále se aktivně účastní platformy V4 </w:t>
            </w:r>
            <w:proofErr w:type="spellStart"/>
            <w:r w:rsidR="00FD0A98">
              <w:rPr>
                <w:rFonts w:asciiTheme="minorHAnsi" w:hAnsiTheme="minorHAnsi"/>
                <w:sz w:val="22"/>
                <w:szCs w:val="22"/>
              </w:rPr>
              <w:t>Gas</w:t>
            </w:r>
            <w:proofErr w:type="spellEnd"/>
            <w:r w:rsidR="00FD0A98">
              <w:rPr>
                <w:rFonts w:asciiTheme="minorHAnsi" w:hAnsiTheme="minorHAnsi"/>
                <w:sz w:val="22"/>
                <w:szCs w:val="22"/>
              </w:rPr>
              <w:t xml:space="preserve"> </w:t>
            </w:r>
            <w:r w:rsidR="0017765A">
              <w:rPr>
                <w:rFonts w:asciiTheme="minorHAnsi" w:hAnsiTheme="minorHAnsi"/>
                <w:sz w:val="22"/>
                <w:szCs w:val="22"/>
              </w:rPr>
              <w:t>f</w:t>
            </w:r>
            <w:r w:rsidR="00FD0A98">
              <w:rPr>
                <w:rFonts w:asciiTheme="minorHAnsi" w:hAnsiTheme="minorHAnsi"/>
                <w:sz w:val="22"/>
                <w:szCs w:val="22"/>
              </w:rPr>
              <w:t>órum.</w:t>
            </w:r>
            <w:r w:rsidRPr="009E6F64">
              <w:rPr>
                <w:rFonts w:asciiTheme="minorHAnsi" w:hAnsiTheme="minorHAnsi"/>
                <w:sz w:val="22"/>
                <w:szCs w:val="22"/>
              </w:rPr>
              <w:t xml:space="preserve"> </w:t>
            </w:r>
            <w:r w:rsidR="00CB16ED">
              <w:rPr>
                <w:rFonts w:asciiTheme="minorHAnsi" w:hAnsiTheme="minorHAnsi"/>
                <w:sz w:val="22"/>
                <w:szCs w:val="22"/>
              </w:rPr>
              <w:t xml:space="preserve">V roce 2018 byl spuštěn projekt TRU, </w:t>
            </w:r>
            <w:r w:rsidRPr="009E6F64">
              <w:rPr>
                <w:rFonts w:asciiTheme="minorHAnsi" w:hAnsiTheme="minorHAnsi"/>
                <w:sz w:val="22"/>
                <w:szCs w:val="22"/>
              </w:rPr>
              <w:t>projekt integrace trhu s plynem ČR a Rakousk</w:t>
            </w:r>
            <w:r w:rsidR="00CB16ED">
              <w:rPr>
                <w:rFonts w:asciiTheme="minorHAnsi" w:hAnsiTheme="minorHAnsi"/>
                <w:sz w:val="22"/>
                <w:szCs w:val="22"/>
              </w:rPr>
              <w:t>a</w:t>
            </w:r>
            <w:r w:rsidR="00663577">
              <w:rPr>
                <w:rFonts w:asciiTheme="minorHAnsi" w:hAnsiTheme="minorHAnsi"/>
                <w:sz w:val="22"/>
                <w:szCs w:val="22"/>
              </w:rPr>
              <w:t>, který</w:t>
            </w:r>
            <w:r w:rsidR="00CB50AA">
              <w:rPr>
                <w:rFonts w:asciiTheme="minorHAnsi" w:hAnsiTheme="minorHAnsi"/>
                <w:sz w:val="22"/>
                <w:szCs w:val="22"/>
              </w:rPr>
              <w:t xml:space="preserve"> využí</w:t>
            </w:r>
            <w:r w:rsidR="00663577">
              <w:rPr>
                <w:rFonts w:asciiTheme="minorHAnsi" w:hAnsiTheme="minorHAnsi"/>
                <w:sz w:val="22"/>
                <w:szCs w:val="22"/>
              </w:rPr>
              <w:t>vá</w:t>
            </w:r>
            <w:r w:rsidR="00CB50AA">
              <w:rPr>
                <w:rFonts w:asciiTheme="minorHAnsi" w:hAnsiTheme="minorHAnsi"/>
                <w:sz w:val="22"/>
                <w:szCs w:val="22"/>
              </w:rPr>
              <w:t xml:space="preserve"> stávající infrastruktury</w:t>
            </w:r>
            <w:r w:rsidR="00D751C8">
              <w:rPr>
                <w:rFonts w:asciiTheme="minorHAnsi" w:hAnsiTheme="minorHAnsi"/>
                <w:sz w:val="22"/>
                <w:szCs w:val="22"/>
              </w:rPr>
              <w:t>,</w:t>
            </w:r>
            <w:r w:rsidR="00663577">
              <w:rPr>
                <w:rFonts w:asciiTheme="minorHAnsi" w:hAnsiTheme="minorHAnsi"/>
                <w:sz w:val="22"/>
                <w:szCs w:val="22"/>
              </w:rPr>
              <w:t xml:space="preserve"> díky čemuž se minimalizují</w:t>
            </w:r>
            <w:r w:rsidR="00CB50AA">
              <w:rPr>
                <w:rFonts w:asciiTheme="minorHAnsi" w:hAnsiTheme="minorHAnsi"/>
                <w:sz w:val="22"/>
                <w:szCs w:val="22"/>
              </w:rPr>
              <w:t xml:space="preserve"> negativní dopad</w:t>
            </w:r>
            <w:r w:rsidR="00663577">
              <w:rPr>
                <w:rFonts w:asciiTheme="minorHAnsi" w:hAnsiTheme="minorHAnsi"/>
                <w:sz w:val="22"/>
                <w:szCs w:val="22"/>
              </w:rPr>
              <w:t>y</w:t>
            </w:r>
            <w:r w:rsidR="00CB50AA">
              <w:rPr>
                <w:rFonts w:asciiTheme="minorHAnsi" w:hAnsiTheme="minorHAnsi"/>
                <w:sz w:val="22"/>
                <w:szCs w:val="22"/>
              </w:rPr>
              <w:t xml:space="preserve"> do regulovaných cen</w:t>
            </w:r>
            <w:r w:rsidR="00663577">
              <w:rPr>
                <w:rFonts w:asciiTheme="minorHAnsi" w:hAnsiTheme="minorHAnsi"/>
                <w:sz w:val="22"/>
                <w:szCs w:val="22"/>
              </w:rPr>
              <w:t>. ERÚ dále</w:t>
            </w:r>
            <w:r w:rsidR="00CB50AA">
              <w:rPr>
                <w:rFonts w:asciiTheme="minorHAnsi" w:hAnsiTheme="minorHAnsi"/>
                <w:sz w:val="22"/>
                <w:szCs w:val="22"/>
              </w:rPr>
              <w:t xml:space="preserve"> </w:t>
            </w:r>
            <w:r w:rsidR="00246103">
              <w:rPr>
                <w:rFonts w:asciiTheme="minorHAnsi" w:hAnsiTheme="minorHAnsi"/>
                <w:sz w:val="22"/>
                <w:szCs w:val="22"/>
              </w:rPr>
              <w:t>monitoruje průběh lokálního</w:t>
            </w:r>
            <w:r w:rsidRPr="009E6F64">
              <w:rPr>
                <w:rFonts w:asciiTheme="minorHAnsi" w:hAnsiTheme="minorHAnsi"/>
                <w:sz w:val="22"/>
                <w:szCs w:val="22"/>
              </w:rPr>
              <w:t xml:space="preserve"> implementačního projektu</w:t>
            </w:r>
            <w:r w:rsidR="00246103">
              <w:rPr>
                <w:rFonts w:asciiTheme="minorHAnsi" w:hAnsiTheme="minorHAnsi"/>
                <w:sz w:val="22"/>
                <w:szCs w:val="22"/>
              </w:rPr>
              <w:t xml:space="preserve"> (tzv. LIP15)</w:t>
            </w:r>
            <w:r w:rsidRPr="009E6F64">
              <w:rPr>
                <w:rFonts w:asciiTheme="minorHAnsi" w:hAnsiTheme="minorHAnsi"/>
                <w:sz w:val="22"/>
                <w:szCs w:val="22"/>
              </w:rPr>
              <w:t xml:space="preserve"> pro vnitrodenní market </w:t>
            </w:r>
            <w:proofErr w:type="spellStart"/>
            <w:r w:rsidRPr="009E6F64">
              <w:rPr>
                <w:rFonts w:asciiTheme="minorHAnsi" w:hAnsiTheme="minorHAnsi"/>
                <w:sz w:val="22"/>
                <w:szCs w:val="22"/>
              </w:rPr>
              <w:lastRenderedPageBreak/>
              <w:t>coupling</w:t>
            </w:r>
            <w:proofErr w:type="spellEnd"/>
            <w:r w:rsidR="00246103">
              <w:rPr>
                <w:rFonts w:asciiTheme="minorHAnsi" w:hAnsiTheme="minorHAnsi"/>
                <w:sz w:val="22"/>
                <w:szCs w:val="22"/>
              </w:rPr>
              <w:t xml:space="preserve"> v oblasti elektroenergetiky (tzv. XBID)</w:t>
            </w:r>
            <w:r w:rsidR="00CB50AA">
              <w:rPr>
                <w:rFonts w:asciiTheme="minorHAnsi" w:hAnsiTheme="minorHAnsi"/>
                <w:sz w:val="22"/>
                <w:szCs w:val="22"/>
              </w:rPr>
              <w:t xml:space="preserve"> s</w:t>
            </w:r>
            <w:r w:rsidR="00BA2E70">
              <w:rPr>
                <w:rFonts w:asciiTheme="minorHAnsi" w:hAnsiTheme="minorHAnsi"/>
                <w:sz w:val="22"/>
                <w:szCs w:val="22"/>
              </w:rPr>
              <w:t xml:space="preserve"> </w:t>
            </w:r>
            <w:r w:rsidR="00CB50AA">
              <w:rPr>
                <w:rFonts w:asciiTheme="minorHAnsi" w:hAnsiTheme="minorHAnsi"/>
                <w:sz w:val="22"/>
                <w:szCs w:val="22"/>
              </w:rPr>
              <w:t>Německem, Rakouskem, Maďarskem, Rumunskem</w:t>
            </w:r>
            <w:r w:rsidR="00663577">
              <w:rPr>
                <w:rFonts w:asciiTheme="minorHAnsi" w:hAnsiTheme="minorHAnsi"/>
                <w:sz w:val="22"/>
                <w:szCs w:val="22"/>
              </w:rPr>
              <w:t>, Slovins</w:t>
            </w:r>
            <w:r w:rsidR="005A6FC5">
              <w:rPr>
                <w:rFonts w:asciiTheme="minorHAnsi" w:hAnsiTheme="minorHAnsi"/>
                <w:sz w:val="22"/>
                <w:szCs w:val="22"/>
              </w:rPr>
              <w:t>k</w:t>
            </w:r>
            <w:r w:rsidR="00663577">
              <w:rPr>
                <w:rFonts w:asciiTheme="minorHAnsi" w:hAnsiTheme="minorHAnsi"/>
                <w:sz w:val="22"/>
                <w:szCs w:val="22"/>
              </w:rPr>
              <w:t>em</w:t>
            </w:r>
            <w:r w:rsidR="00CB50AA">
              <w:rPr>
                <w:rFonts w:asciiTheme="minorHAnsi" w:hAnsiTheme="minorHAnsi"/>
                <w:sz w:val="22"/>
                <w:szCs w:val="22"/>
              </w:rPr>
              <w:t xml:space="preserve"> a</w:t>
            </w:r>
            <w:r w:rsidR="00BA2E70">
              <w:rPr>
                <w:rFonts w:asciiTheme="minorHAnsi" w:hAnsiTheme="minorHAnsi"/>
                <w:sz w:val="22"/>
                <w:szCs w:val="22"/>
              </w:rPr>
              <w:t> </w:t>
            </w:r>
            <w:r w:rsidR="00CB50AA">
              <w:rPr>
                <w:rFonts w:asciiTheme="minorHAnsi" w:hAnsiTheme="minorHAnsi"/>
                <w:sz w:val="22"/>
                <w:szCs w:val="22"/>
              </w:rPr>
              <w:t>Chorvatskem</w:t>
            </w:r>
            <w:r w:rsidRPr="009E6F64">
              <w:rPr>
                <w:rFonts w:asciiTheme="minorHAnsi" w:hAnsiTheme="minorHAnsi"/>
                <w:sz w:val="22"/>
                <w:szCs w:val="22"/>
              </w:rPr>
              <w:t>. V rámci této skupiny</w:t>
            </w:r>
            <w:r w:rsidR="00BA2E70">
              <w:rPr>
                <w:rFonts w:asciiTheme="minorHAnsi" w:hAnsiTheme="minorHAnsi"/>
                <w:sz w:val="22"/>
                <w:szCs w:val="22"/>
              </w:rPr>
              <w:t xml:space="preserve"> pak</w:t>
            </w:r>
            <w:r w:rsidRPr="009E6F64">
              <w:rPr>
                <w:rFonts w:asciiTheme="minorHAnsi" w:hAnsiTheme="minorHAnsi"/>
                <w:sz w:val="22"/>
                <w:szCs w:val="22"/>
              </w:rPr>
              <w:t xml:space="preserve"> </w:t>
            </w:r>
            <w:r w:rsidR="00246103">
              <w:rPr>
                <w:rFonts w:asciiTheme="minorHAnsi" w:hAnsiTheme="minorHAnsi"/>
                <w:sz w:val="22"/>
                <w:szCs w:val="22"/>
              </w:rPr>
              <w:t>dlouhodobě</w:t>
            </w:r>
            <w:r w:rsidRPr="009E6F64">
              <w:rPr>
                <w:rFonts w:asciiTheme="minorHAnsi" w:hAnsiTheme="minorHAnsi"/>
                <w:sz w:val="22"/>
                <w:szCs w:val="22"/>
              </w:rPr>
              <w:t xml:space="preserve"> prosazuje implementaci celoevropského řešení. Obdobně se ERÚ zapojuje i do iniciativ v dalších oblastech, jako jsou provozní spolupráce v</w:t>
            </w:r>
            <w:r w:rsidR="00BA2E70">
              <w:rPr>
                <w:rFonts w:asciiTheme="minorHAnsi" w:hAnsiTheme="minorHAnsi"/>
                <w:sz w:val="22"/>
                <w:szCs w:val="22"/>
              </w:rPr>
              <w:t> </w:t>
            </w:r>
            <w:r w:rsidRPr="009E6F64">
              <w:rPr>
                <w:rFonts w:asciiTheme="minorHAnsi" w:hAnsiTheme="minorHAnsi"/>
                <w:sz w:val="22"/>
                <w:szCs w:val="22"/>
              </w:rPr>
              <w:t xml:space="preserve">elektroenergetice (TSC), pilotní projekty v oblasti </w:t>
            </w:r>
            <w:proofErr w:type="spellStart"/>
            <w:r w:rsidRPr="009E6F64">
              <w:rPr>
                <w:rFonts w:asciiTheme="minorHAnsi" w:hAnsiTheme="minorHAnsi"/>
                <w:sz w:val="22"/>
                <w:szCs w:val="22"/>
              </w:rPr>
              <w:t>balancingu</w:t>
            </w:r>
            <w:proofErr w:type="spellEnd"/>
            <w:r w:rsidRPr="009E6F64">
              <w:rPr>
                <w:rFonts w:asciiTheme="minorHAnsi" w:hAnsiTheme="minorHAnsi"/>
                <w:sz w:val="22"/>
                <w:szCs w:val="22"/>
              </w:rPr>
              <w:t xml:space="preserve"> (</w:t>
            </w:r>
            <w:r w:rsidR="00BA2E70">
              <w:rPr>
                <w:rFonts w:asciiTheme="minorHAnsi" w:hAnsiTheme="minorHAnsi"/>
                <w:sz w:val="22"/>
                <w:szCs w:val="22"/>
              </w:rPr>
              <w:t xml:space="preserve">také v sektoru </w:t>
            </w:r>
            <w:r w:rsidRPr="009E6F64">
              <w:rPr>
                <w:rFonts w:asciiTheme="minorHAnsi" w:hAnsiTheme="minorHAnsi"/>
                <w:sz w:val="22"/>
                <w:szCs w:val="22"/>
              </w:rPr>
              <w:t>elektroenergetika)</w:t>
            </w:r>
            <w:r w:rsidR="00BA2E70">
              <w:rPr>
                <w:rFonts w:asciiTheme="minorHAnsi" w:hAnsiTheme="minorHAnsi"/>
                <w:sz w:val="22"/>
                <w:szCs w:val="22"/>
              </w:rPr>
              <w:t xml:space="preserve"> či</w:t>
            </w:r>
            <w:r w:rsidRPr="009E6F64">
              <w:rPr>
                <w:rFonts w:asciiTheme="minorHAnsi" w:hAnsiTheme="minorHAnsi"/>
                <w:sz w:val="22"/>
                <w:szCs w:val="22"/>
              </w:rPr>
              <w:t xml:space="preserve"> dohled na</w:t>
            </w:r>
            <w:r w:rsidR="00663577">
              <w:rPr>
                <w:rFonts w:asciiTheme="minorHAnsi" w:hAnsiTheme="minorHAnsi"/>
                <w:sz w:val="22"/>
                <w:szCs w:val="22"/>
              </w:rPr>
              <w:t>d</w:t>
            </w:r>
            <w:r w:rsidRPr="009E6F64">
              <w:rPr>
                <w:rFonts w:asciiTheme="minorHAnsi" w:hAnsiTheme="minorHAnsi"/>
                <w:sz w:val="22"/>
                <w:szCs w:val="22"/>
              </w:rPr>
              <w:t xml:space="preserve"> platformou PRISMA. ERÚ se </w:t>
            </w:r>
            <w:r w:rsidR="00CB50AA">
              <w:rPr>
                <w:rFonts w:asciiTheme="minorHAnsi" w:hAnsiTheme="minorHAnsi"/>
                <w:sz w:val="22"/>
                <w:szCs w:val="22"/>
              </w:rPr>
              <w:t>podílí</w:t>
            </w:r>
            <w:r w:rsidRPr="009E6F64">
              <w:rPr>
                <w:rFonts w:asciiTheme="minorHAnsi" w:hAnsiTheme="minorHAnsi"/>
                <w:sz w:val="22"/>
                <w:szCs w:val="22"/>
              </w:rPr>
              <w:t xml:space="preserve"> také</w:t>
            </w:r>
            <w:r w:rsidR="00CB50AA">
              <w:rPr>
                <w:rFonts w:asciiTheme="minorHAnsi" w:hAnsiTheme="minorHAnsi"/>
                <w:sz w:val="22"/>
                <w:szCs w:val="22"/>
              </w:rPr>
              <w:t xml:space="preserve"> na hodnocení</w:t>
            </w:r>
            <w:r w:rsidRPr="009E6F64">
              <w:rPr>
                <w:rFonts w:asciiTheme="minorHAnsi" w:hAnsiTheme="minorHAnsi"/>
                <w:sz w:val="22"/>
                <w:szCs w:val="22"/>
              </w:rPr>
              <w:t xml:space="preserve"> infrastrukturních projektů,</w:t>
            </w:r>
            <w:r w:rsidR="00CB50AA">
              <w:rPr>
                <w:rFonts w:asciiTheme="minorHAnsi" w:hAnsiTheme="minorHAnsi"/>
                <w:sz w:val="22"/>
                <w:szCs w:val="22"/>
              </w:rPr>
              <w:t xml:space="preserve"> přičemž</w:t>
            </w:r>
            <w:r w:rsidRPr="009E6F64">
              <w:rPr>
                <w:rFonts w:asciiTheme="minorHAnsi" w:hAnsiTheme="minorHAnsi"/>
                <w:sz w:val="22"/>
                <w:szCs w:val="22"/>
              </w:rPr>
              <w:t xml:space="preserve"> prosazuje</w:t>
            </w:r>
            <w:r w:rsidR="00CB50AA">
              <w:rPr>
                <w:rFonts w:asciiTheme="minorHAnsi" w:hAnsiTheme="minorHAnsi"/>
                <w:sz w:val="22"/>
                <w:szCs w:val="22"/>
              </w:rPr>
              <w:t xml:space="preserve"> zájmy Č</w:t>
            </w:r>
            <w:r w:rsidR="00BA2E70">
              <w:rPr>
                <w:rFonts w:asciiTheme="minorHAnsi" w:hAnsiTheme="minorHAnsi"/>
                <w:sz w:val="22"/>
                <w:szCs w:val="22"/>
              </w:rPr>
              <w:t>eské republiky</w:t>
            </w:r>
            <w:r w:rsidR="00CB50AA">
              <w:rPr>
                <w:rFonts w:asciiTheme="minorHAnsi" w:hAnsiTheme="minorHAnsi"/>
                <w:sz w:val="22"/>
                <w:szCs w:val="22"/>
              </w:rPr>
              <w:t xml:space="preserve"> a spotřebitelů v ČR</w:t>
            </w:r>
            <w:r w:rsidRPr="009E6F64">
              <w:rPr>
                <w:rFonts w:asciiTheme="minorHAnsi" w:hAnsiTheme="minorHAnsi"/>
                <w:sz w:val="22"/>
                <w:szCs w:val="22"/>
              </w:rPr>
              <w:t>, a to zejména v rámci výběru projektů PCI</w:t>
            </w:r>
            <w:r w:rsidR="00C04B6D">
              <w:rPr>
                <w:rFonts w:asciiTheme="minorHAnsi" w:hAnsiTheme="minorHAnsi"/>
                <w:sz w:val="22"/>
                <w:szCs w:val="22"/>
              </w:rPr>
              <w:t>. ERÚ</w:t>
            </w:r>
            <w:r w:rsidRPr="009E6F64">
              <w:rPr>
                <w:rFonts w:asciiTheme="minorHAnsi" w:hAnsiTheme="minorHAnsi"/>
                <w:sz w:val="22"/>
                <w:szCs w:val="22"/>
              </w:rPr>
              <w:t xml:space="preserve"> systematicky koordinuje svou činnost s národními regulátory zemí </w:t>
            </w:r>
            <w:r w:rsidR="00CB50AA">
              <w:rPr>
                <w:rFonts w:asciiTheme="minorHAnsi" w:hAnsiTheme="minorHAnsi"/>
                <w:sz w:val="22"/>
                <w:szCs w:val="22"/>
              </w:rPr>
              <w:t>EU</w:t>
            </w:r>
            <w:r w:rsidRPr="009E6F64">
              <w:rPr>
                <w:rFonts w:asciiTheme="minorHAnsi" w:hAnsiTheme="minorHAnsi"/>
                <w:sz w:val="22"/>
                <w:szCs w:val="22"/>
              </w:rPr>
              <w:t xml:space="preserve"> a</w:t>
            </w:r>
            <w:r w:rsidR="00D751C8">
              <w:rPr>
                <w:rFonts w:asciiTheme="minorHAnsi" w:hAnsiTheme="minorHAnsi"/>
                <w:sz w:val="22"/>
                <w:szCs w:val="22"/>
              </w:rPr>
              <w:t> </w:t>
            </w:r>
            <w:r w:rsidRPr="009E6F64">
              <w:rPr>
                <w:rFonts w:asciiTheme="minorHAnsi" w:hAnsiTheme="minorHAnsi"/>
                <w:sz w:val="22"/>
                <w:szCs w:val="22"/>
              </w:rPr>
              <w:t>podílí se na konání pravidelných setkání na vysoké i pracovní úrovni.</w:t>
            </w:r>
          </w:p>
          <w:p w14:paraId="60EF15E5" w14:textId="1FF029B1" w:rsidR="004843E0" w:rsidRPr="004843E0" w:rsidRDefault="009E6F64" w:rsidP="00663577">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9E6F64">
              <w:rPr>
                <w:rFonts w:asciiTheme="minorHAnsi" w:hAnsiTheme="minorHAnsi"/>
                <w:sz w:val="22"/>
                <w:szCs w:val="22"/>
              </w:rPr>
              <w:t>SSHR zastupuje, v souladu se zákonem č. 189/1999 Sb., o nouzových zásobách ropy,</w:t>
            </w:r>
            <w:r w:rsidR="005B0D9A">
              <w:t xml:space="preserve"> </w:t>
            </w:r>
            <w:r w:rsidR="005B0D9A" w:rsidRPr="005B0D9A">
              <w:rPr>
                <w:rFonts w:asciiTheme="minorHAnsi" w:hAnsiTheme="minorHAnsi"/>
                <w:sz w:val="22"/>
                <w:szCs w:val="22"/>
              </w:rPr>
              <w:t>o řešení stavů ropné nouze a o změně některých souvisejících zákonů</w:t>
            </w:r>
            <w:r w:rsidR="005B0D9A">
              <w:rPr>
                <w:rFonts w:asciiTheme="minorHAnsi" w:hAnsiTheme="minorHAnsi"/>
                <w:sz w:val="22"/>
                <w:szCs w:val="22"/>
              </w:rPr>
              <w:t>, ve znění pozdějších předpisů,</w:t>
            </w:r>
            <w:r w:rsidRPr="009E6F64">
              <w:rPr>
                <w:rFonts w:asciiTheme="minorHAnsi" w:hAnsiTheme="minorHAnsi"/>
                <w:sz w:val="22"/>
                <w:szCs w:val="22"/>
              </w:rPr>
              <w:t xml:space="preserve"> Českou republiku v Koordinační sku</w:t>
            </w:r>
            <w:r w:rsidR="002F1E7C">
              <w:rPr>
                <w:rFonts w:asciiTheme="minorHAnsi" w:hAnsiTheme="minorHAnsi"/>
                <w:sz w:val="22"/>
                <w:szCs w:val="22"/>
              </w:rPr>
              <w:t>pině Evropské komise pro ropu a </w:t>
            </w:r>
            <w:r w:rsidRPr="009E6F64">
              <w:rPr>
                <w:rFonts w:asciiTheme="minorHAnsi" w:hAnsiTheme="minorHAnsi"/>
                <w:sz w:val="22"/>
                <w:szCs w:val="22"/>
              </w:rPr>
              <w:t>ropné produkty</w:t>
            </w:r>
            <w:r w:rsidR="0054789C">
              <w:rPr>
                <w:rFonts w:asciiTheme="minorHAnsi" w:hAnsiTheme="minorHAnsi"/>
                <w:sz w:val="22"/>
                <w:szCs w:val="22"/>
              </w:rPr>
              <w:t xml:space="preserve"> (OCG)</w:t>
            </w:r>
            <w:r w:rsidRPr="009E6F64">
              <w:rPr>
                <w:rFonts w:asciiTheme="minorHAnsi" w:hAnsiTheme="minorHAnsi"/>
                <w:sz w:val="22"/>
                <w:szCs w:val="22"/>
              </w:rPr>
              <w:t xml:space="preserve">, ve Stálé skupině </w:t>
            </w:r>
            <w:r w:rsidR="0054789C">
              <w:rPr>
                <w:rFonts w:asciiTheme="minorHAnsi" w:hAnsiTheme="minorHAnsi"/>
                <w:sz w:val="22"/>
                <w:szCs w:val="22"/>
              </w:rPr>
              <w:t xml:space="preserve">IEA </w:t>
            </w:r>
            <w:r w:rsidRPr="009E6F64">
              <w:rPr>
                <w:rFonts w:asciiTheme="minorHAnsi" w:hAnsiTheme="minorHAnsi"/>
                <w:sz w:val="22"/>
                <w:szCs w:val="22"/>
              </w:rPr>
              <w:t xml:space="preserve">pro </w:t>
            </w:r>
            <w:r w:rsidR="0054789C">
              <w:rPr>
                <w:rFonts w:asciiTheme="minorHAnsi" w:hAnsiTheme="minorHAnsi"/>
                <w:sz w:val="22"/>
                <w:szCs w:val="22"/>
              </w:rPr>
              <w:t>nouzové stavy (SEQ)</w:t>
            </w:r>
            <w:r w:rsidRPr="009E6F64">
              <w:rPr>
                <w:rFonts w:asciiTheme="minorHAnsi" w:hAnsiTheme="minorHAnsi"/>
                <w:sz w:val="22"/>
                <w:szCs w:val="22"/>
              </w:rPr>
              <w:t xml:space="preserve"> a ve Stálé skupině </w:t>
            </w:r>
            <w:r w:rsidR="0054789C">
              <w:rPr>
                <w:rFonts w:asciiTheme="minorHAnsi" w:hAnsiTheme="minorHAnsi"/>
                <w:sz w:val="22"/>
                <w:szCs w:val="22"/>
              </w:rPr>
              <w:t xml:space="preserve">IEA </w:t>
            </w:r>
            <w:r w:rsidRPr="009E6F64">
              <w:rPr>
                <w:rFonts w:asciiTheme="minorHAnsi" w:hAnsiTheme="minorHAnsi"/>
                <w:sz w:val="22"/>
                <w:szCs w:val="22"/>
              </w:rPr>
              <w:t>pro ropný trh</w:t>
            </w:r>
            <w:r w:rsidR="0054789C">
              <w:rPr>
                <w:rFonts w:asciiTheme="minorHAnsi" w:hAnsiTheme="minorHAnsi"/>
                <w:sz w:val="22"/>
                <w:szCs w:val="22"/>
              </w:rPr>
              <w:t xml:space="preserve"> (SOM)</w:t>
            </w:r>
            <w:r w:rsidRPr="009E6F64">
              <w:rPr>
                <w:rFonts w:asciiTheme="minorHAnsi" w:hAnsiTheme="minorHAnsi"/>
                <w:sz w:val="22"/>
                <w:szCs w:val="22"/>
              </w:rPr>
              <w:t xml:space="preserve">. Dále se zástupce SSHR účastní </w:t>
            </w:r>
            <w:r w:rsidRPr="004843E0">
              <w:rPr>
                <w:rFonts w:asciiTheme="minorHAnsi" w:hAnsiTheme="minorHAnsi"/>
                <w:sz w:val="22"/>
                <w:szCs w:val="22"/>
              </w:rPr>
              <w:t xml:space="preserve">zasedání </w:t>
            </w:r>
            <w:r w:rsidR="005B0D9A" w:rsidRPr="005B0D9A">
              <w:rPr>
                <w:rFonts w:asciiTheme="minorHAnsi" w:hAnsiTheme="minorHAnsi"/>
                <w:sz w:val="22"/>
                <w:szCs w:val="22"/>
              </w:rPr>
              <w:t>aliančního Výboru pro pohonné hmoty</w:t>
            </w:r>
            <w:r w:rsidR="005B0D9A">
              <w:rPr>
                <w:rFonts w:asciiTheme="minorHAnsi" w:hAnsiTheme="minorHAnsi"/>
                <w:sz w:val="22"/>
                <w:szCs w:val="22"/>
              </w:rPr>
              <w:t xml:space="preserve"> (</w:t>
            </w:r>
            <w:r w:rsidRPr="004843E0">
              <w:rPr>
                <w:rFonts w:asciiTheme="minorHAnsi" w:hAnsiTheme="minorHAnsi"/>
                <w:sz w:val="22"/>
                <w:szCs w:val="22"/>
              </w:rPr>
              <w:t xml:space="preserve">NATO </w:t>
            </w:r>
            <w:proofErr w:type="spellStart"/>
            <w:r w:rsidRPr="004843E0">
              <w:rPr>
                <w:rFonts w:asciiTheme="minorHAnsi" w:hAnsiTheme="minorHAnsi"/>
                <w:sz w:val="22"/>
                <w:szCs w:val="22"/>
              </w:rPr>
              <w:t>Petroleum</w:t>
            </w:r>
            <w:proofErr w:type="spellEnd"/>
            <w:r w:rsidRPr="004843E0">
              <w:rPr>
                <w:rFonts w:asciiTheme="minorHAnsi" w:hAnsiTheme="minorHAnsi"/>
                <w:sz w:val="22"/>
                <w:szCs w:val="22"/>
              </w:rPr>
              <w:t xml:space="preserve"> </w:t>
            </w:r>
            <w:proofErr w:type="spellStart"/>
            <w:r w:rsidRPr="004843E0">
              <w:rPr>
                <w:rFonts w:asciiTheme="minorHAnsi" w:hAnsiTheme="minorHAnsi"/>
                <w:sz w:val="22"/>
                <w:szCs w:val="22"/>
              </w:rPr>
              <w:t>Commitee</w:t>
            </w:r>
            <w:proofErr w:type="spellEnd"/>
            <w:r w:rsidR="005B0D9A">
              <w:rPr>
                <w:rFonts w:asciiTheme="minorHAnsi" w:hAnsiTheme="minorHAnsi"/>
                <w:sz w:val="22"/>
                <w:szCs w:val="22"/>
              </w:rPr>
              <w:t>) a jeho pracovních skupin</w:t>
            </w:r>
            <w:r w:rsidRPr="004843E0">
              <w:rPr>
                <w:rFonts w:asciiTheme="minorHAnsi" w:hAnsiTheme="minorHAnsi"/>
                <w:sz w:val="22"/>
                <w:szCs w:val="22"/>
              </w:rPr>
              <w:t xml:space="preserve"> a pravideln</w:t>
            </w:r>
            <w:r w:rsidR="005B0D9A">
              <w:rPr>
                <w:rFonts w:asciiTheme="minorHAnsi" w:hAnsiTheme="minorHAnsi"/>
                <w:sz w:val="22"/>
                <w:szCs w:val="22"/>
              </w:rPr>
              <w:t>ých</w:t>
            </w:r>
            <w:r w:rsidRPr="004843E0">
              <w:rPr>
                <w:rFonts w:asciiTheme="minorHAnsi" w:hAnsiTheme="minorHAnsi"/>
                <w:sz w:val="22"/>
                <w:szCs w:val="22"/>
              </w:rPr>
              <w:t xml:space="preserve"> zasedání</w:t>
            </w:r>
            <w:r w:rsidR="005B0D9A">
              <w:rPr>
                <w:rFonts w:asciiTheme="minorHAnsi" w:hAnsiTheme="minorHAnsi"/>
                <w:sz w:val="22"/>
                <w:szCs w:val="22"/>
              </w:rPr>
              <w:t xml:space="preserve"> ústředních správců nouzových zásob (ACOMES)</w:t>
            </w:r>
            <w:r w:rsidRPr="004843E0">
              <w:rPr>
                <w:rFonts w:asciiTheme="minorHAnsi" w:hAnsiTheme="minorHAnsi"/>
                <w:sz w:val="22"/>
                <w:szCs w:val="22"/>
              </w:rPr>
              <w:t>.</w:t>
            </w:r>
          </w:p>
        </w:tc>
      </w:tr>
    </w:tbl>
    <w:p w14:paraId="46662E16" w14:textId="2498C7AE" w:rsidR="00D732E0" w:rsidRDefault="00D732E0" w:rsidP="006E05C2">
      <w:pPr>
        <w:pStyle w:val="Nadpis2"/>
      </w:pPr>
      <w:bookmarkStart w:id="26" w:name="_Toc498509202"/>
      <w:r>
        <w:lastRenderedPageBreak/>
        <w:t>Nástroje v oblasti vzdělávání a podpory vědy a výzkumu</w:t>
      </w:r>
      <w:bookmarkEnd w:id="26"/>
    </w:p>
    <w:p w14:paraId="1BA63EC2" w14:textId="7F5226DF" w:rsidR="00EF1B78" w:rsidRPr="00EF1B78" w:rsidRDefault="00614789" w:rsidP="00EF1B78">
      <w:pPr>
        <w:spacing w:after="240"/>
        <w:jc w:val="both"/>
        <w:rPr>
          <w:rFonts w:asciiTheme="minorHAnsi" w:hAnsiTheme="minorHAnsi"/>
          <w:sz w:val="22"/>
          <w:szCs w:val="22"/>
        </w:rPr>
      </w:pPr>
      <w:r w:rsidRPr="000B6057">
        <w:rPr>
          <w:rFonts w:asciiTheme="minorHAnsi" w:hAnsiTheme="minorHAnsi"/>
          <w:sz w:val="22"/>
          <w:szCs w:val="22"/>
        </w:rPr>
        <w:t>V oblasti vzdělávání a podpory vědy a výzkumu byl</w:t>
      </w:r>
      <w:r w:rsidR="004F5238" w:rsidRPr="000B6057">
        <w:rPr>
          <w:rFonts w:asciiTheme="minorHAnsi" w:hAnsiTheme="minorHAnsi"/>
          <w:sz w:val="22"/>
          <w:szCs w:val="22"/>
        </w:rPr>
        <w:t>a</w:t>
      </w:r>
      <w:r w:rsidRPr="000B6057">
        <w:rPr>
          <w:rFonts w:asciiTheme="minorHAnsi" w:hAnsiTheme="minorHAnsi"/>
          <w:sz w:val="22"/>
          <w:szCs w:val="22"/>
        </w:rPr>
        <w:t xml:space="preserve"> </w:t>
      </w:r>
      <w:r w:rsidR="004F5238" w:rsidRPr="000B6057">
        <w:rPr>
          <w:rFonts w:asciiTheme="minorHAnsi" w:hAnsiTheme="minorHAnsi"/>
          <w:sz w:val="22"/>
          <w:szCs w:val="22"/>
        </w:rPr>
        <w:t xml:space="preserve">jedním z důležitých </w:t>
      </w:r>
      <w:r w:rsidR="00061085" w:rsidRPr="000B6057">
        <w:rPr>
          <w:rFonts w:asciiTheme="minorHAnsi" w:hAnsiTheme="minorHAnsi"/>
          <w:sz w:val="22"/>
          <w:szCs w:val="22"/>
        </w:rPr>
        <w:t>nástrojů</w:t>
      </w:r>
      <w:r w:rsidR="004F5238" w:rsidRPr="000B6057">
        <w:rPr>
          <w:rFonts w:asciiTheme="minorHAnsi" w:hAnsiTheme="minorHAnsi"/>
          <w:sz w:val="22"/>
          <w:szCs w:val="22"/>
        </w:rPr>
        <w:t xml:space="preserve"> příprava nového program</w:t>
      </w:r>
      <w:r w:rsidR="005C5498" w:rsidRPr="000B6057">
        <w:rPr>
          <w:rFonts w:asciiTheme="minorHAnsi" w:hAnsiTheme="minorHAnsi"/>
          <w:sz w:val="22"/>
          <w:szCs w:val="22"/>
        </w:rPr>
        <w:t>u</w:t>
      </w:r>
      <w:r w:rsidR="004F5238" w:rsidRPr="000B6057">
        <w:rPr>
          <w:rFonts w:asciiTheme="minorHAnsi" w:hAnsiTheme="minorHAnsi"/>
          <w:sz w:val="22"/>
          <w:szCs w:val="22"/>
        </w:rPr>
        <w:t xml:space="preserve"> strategicky usměrňované podpory výzkumných projektů v oblasti energetiky. V tomto ohledu byl připraven </w:t>
      </w:r>
      <w:r w:rsidR="00061085" w:rsidRPr="000B6057">
        <w:rPr>
          <w:rFonts w:asciiTheme="minorHAnsi" w:eastAsiaTheme="majorEastAsia" w:hAnsiTheme="minorHAnsi" w:cstheme="majorBidi"/>
          <w:sz w:val="22"/>
          <w:szCs w:val="22"/>
        </w:rPr>
        <w:t>a usnesením vlády ČR č. 1 173 ze dne 19. prosince 2016 schválen Program na podporu aplikovaného výzkumu, experimentálního vývoje a inovací THÉTA</w:t>
      </w:r>
      <w:r w:rsidR="004F5238" w:rsidRPr="000B6057">
        <w:rPr>
          <w:rFonts w:asciiTheme="minorHAnsi" w:hAnsiTheme="minorHAnsi"/>
          <w:sz w:val="22"/>
          <w:szCs w:val="22"/>
        </w:rPr>
        <w:t xml:space="preserve">. </w:t>
      </w:r>
      <w:r w:rsidR="00061085" w:rsidRPr="000B6057">
        <w:rPr>
          <w:rFonts w:asciiTheme="minorHAnsi" w:hAnsiTheme="minorHAnsi"/>
          <w:sz w:val="22"/>
          <w:szCs w:val="22"/>
        </w:rPr>
        <w:t xml:space="preserve">Z dalších dvou nástrojů je jeden </w:t>
      </w:r>
      <w:r w:rsidR="000B6057">
        <w:rPr>
          <w:rFonts w:asciiTheme="minorHAnsi" w:hAnsiTheme="minorHAnsi"/>
          <w:sz w:val="22"/>
          <w:szCs w:val="22"/>
        </w:rPr>
        <w:t xml:space="preserve">již také </w:t>
      </w:r>
      <w:r w:rsidR="00061085" w:rsidRPr="000B6057">
        <w:rPr>
          <w:rFonts w:asciiTheme="minorHAnsi" w:hAnsiTheme="minorHAnsi"/>
          <w:sz w:val="22"/>
          <w:szCs w:val="22"/>
        </w:rPr>
        <w:t xml:space="preserve">splněn a jeden </w:t>
      </w:r>
      <w:r w:rsidR="004F5238" w:rsidRPr="000B6057">
        <w:rPr>
          <w:rFonts w:asciiTheme="minorHAnsi" w:hAnsiTheme="minorHAnsi"/>
          <w:sz w:val="22"/>
          <w:szCs w:val="22"/>
        </w:rPr>
        <w:t>plněn průběžně.</w:t>
      </w:r>
    </w:p>
    <w:tbl>
      <w:tblPr>
        <w:tblStyle w:val="Mkatabulky"/>
        <w:tblW w:w="4959" w:type="pct"/>
        <w:tblLook w:val="04A0" w:firstRow="1" w:lastRow="0" w:firstColumn="1" w:lastColumn="0" w:noHBand="0" w:noVBand="1"/>
      </w:tblPr>
      <w:tblGrid>
        <w:gridCol w:w="1535"/>
        <w:gridCol w:w="7677"/>
      </w:tblGrid>
      <w:tr w:rsidR="000816BE" w:rsidRPr="006B443D" w14:paraId="3BC166FF" w14:textId="77777777" w:rsidTr="002E4D72">
        <w:tc>
          <w:tcPr>
            <w:tcW w:w="833" w:type="pct"/>
            <w:shd w:val="clear" w:color="auto" w:fill="DBE5F1" w:themeFill="accent1" w:themeFillTint="33"/>
            <w:vAlign w:val="center"/>
          </w:tcPr>
          <w:p w14:paraId="5902CD85" w14:textId="77777777" w:rsidR="000816BE" w:rsidRPr="006B443D" w:rsidRDefault="000816BE" w:rsidP="00B2337B">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5B9344C0" w14:textId="77777777" w:rsidR="000816BE" w:rsidRPr="006B443D" w:rsidRDefault="009E6F64" w:rsidP="00B2337B">
            <w:pPr>
              <w:keepNext/>
              <w:spacing w:before="120" w:after="120"/>
              <w:jc w:val="both"/>
              <w:rPr>
                <w:rFonts w:asciiTheme="minorHAnsi" w:hAnsiTheme="minorHAnsi"/>
                <w:b/>
                <w:sz w:val="22"/>
                <w:szCs w:val="22"/>
              </w:rPr>
            </w:pPr>
            <w:r w:rsidRPr="009E6F64">
              <w:rPr>
                <w:rFonts w:asciiTheme="minorHAnsi" w:hAnsiTheme="minorHAnsi"/>
                <w:b/>
                <w:sz w:val="22"/>
                <w:szCs w:val="22"/>
              </w:rPr>
              <w:t>Iniciovat v rámci podpory technických a přírodovědných oborů jednání subjektů působících v sektoru energetiky se zástupci technických fakult vysokých škol</w:t>
            </w:r>
          </w:p>
        </w:tc>
      </w:tr>
      <w:tr w:rsidR="000816BE" w:rsidRPr="006B443D" w14:paraId="59EBFA11" w14:textId="77777777" w:rsidTr="002E4D72">
        <w:tc>
          <w:tcPr>
            <w:tcW w:w="833" w:type="pct"/>
            <w:vAlign w:val="center"/>
          </w:tcPr>
          <w:p w14:paraId="05991809"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5D3BCB1D" w14:textId="77777777" w:rsidR="000816BE" w:rsidRPr="006B443D" w:rsidRDefault="009E6F64" w:rsidP="009E6F64">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9E6F64">
              <w:rPr>
                <w:rFonts w:asciiTheme="minorHAnsi" w:hAnsiTheme="minorHAnsi"/>
                <w:sz w:val="22"/>
                <w:szCs w:val="22"/>
              </w:rPr>
              <w:t>Tématem jednání bude posílení úlohy technického vzdělávání, a to s důrazem na potřeby energetiky.</w:t>
            </w:r>
          </w:p>
        </w:tc>
      </w:tr>
      <w:tr w:rsidR="000816BE" w:rsidRPr="006B443D" w14:paraId="5D1049FF" w14:textId="77777777" w:rsidTr="002E4D72">
        <w:tc>
          <w:tcPr>
            <w:tcW w:w="833" w:type="pct"/>
            <w:vAlign w:val="center"/>
          </w:tcPr>
          <w:p w14:paraId="4CE5328B"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0FD0EC92" w14:textId="77777777" w:rsidR="000816BE" w:rsidRPr="006B443D" w:rsidRDefault="009E6F64" w:rsidP="002E4D72">
            <w:pPr>
              <w:spacing w:before="120" w:after="120"/>
              <w:jc w:val="both"/>
              <w:rPr>
                <w:rFonts w:asciiTheme="minorHAnsi" w:hAnsiTheme="minorHAnsi"/>
                <w:sz w:val="22"/>
                <w:szCs w:val="22"/>
              </w:rPr>
            </w:pPr>
            <w:r w:rsidRPr="009E6F64">
              <w:rPr>
                <w:rFonts w:asciiTheme="minorHAnsi" w:hAnsiTheme="minorHAnsi"/>
                <w:sz w:val="22"/>
                <w:szCs w:val="22"/>
              </w:rPr>
              <w:t>MPO a MŠMT v součinnosti s dalšími zainteresovanými subjekty</w:t>
            </w:r>
          </w:p>
        </w:tc>
      </w:tr>
      <w:tr w:rsidR="000816BE" w:rsidRPr="006B443D" w14:paraId="5442AC89" w14:textId="77777777" w:rsidTr="002E4D72">
        <w:tc>
          <w:tcPr>
            <w:tcW w:w="833" w:type="pct"/>
            <w:vAlign w:val="center"/>
          </w:tcPr>
          <w:p w14:paraId="54F394E0"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1FA33C07" w14:textId="77777777" w:rsidR="000816BE" w:rsidRPr="006B443D" w:rsidRDefault="009E6F64" w:rsidP="002E4D72">
            <w:pPr>
              <w:spacing w:before="120" w:after="120"/>
              <w:jc w:val="both"/>
              <w:rPr>
                <w:rFonts w:asciiTheme="minorHAnsi" w:hAnsiTheme="minorHAnsi"/>
                <w:sz w:val="22"/>
                <w:szCs w:val="22"/>
              </w:rPr>
            </w:pPr>
            <w:r w:rsidRPr="009E6F64">
              <w:rPr>
                <w:rFonts w:asciiTheme="minorHAnsi" w:hAnsiTheme="minorHAnsi"/>
                <w:sz w:val="22"/>
                <w:szCs w:val="22"/>
              </w:rPr>
              <w:t>do 31. 12. 2015</w:t>
            </w:r>
          </w:p>
        </w:tc>
      </w:tr>
      <w:tr w:rsidR="000816BE" w:rsidRPr="006B443D" w14:paraId="68CBBFEC" w14:textId="77777777" w:rsidTr="002E4D72">
        <w:tc>
          <w:tcPr>
            <w:tcW w:w="833" w:type="pct"/>
            <w:vAlign w:val="center"/>
          </w:tcPr>
          <w:p w14:paraId="1CE1F55D"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238EB259" w14:textId="77777777" w:rsidR="009E6F64" w:rsidRPr="0098223D" w:rsidRDefault="009E6F64" w:rsidP="009E6F64">
            <w:pPr>
              <w:overflowPunct w:val="0"/>
              <w:autoSpaceDE w:val="0"/>
              <w:autoSpaceDN w:val="0"/>
              <w:adjustRightInd w:val="0"/>
              <w:spacing w:before="120" w:after="120"/>
              <w:jc w:val="both"/>
              <w:textAlignment w:val="baseline"/>
              <w:rPr>
                <w:rFonts w:asciiTheme="minorHAnsi" w:hAnsiTheme="minorHAnsi"/>
                <w:b/>
                <w:sz w:val="22"/>
                <w:szCs w:val="22"/>
              </w:rPr>
            </w:pPr>
            <w:r w:rsidRPr="0098223D">
              <w:rPr>
                <w:rFonts w:asciiTheme="minorHAnsi" w:hAnsiTheme="minorHAnsi"/>
                <w:b/>
                <w:sz w:val="22"/>
                <w:szCs w:val="22"/>
              </w:rPr>
              <w:t>Splněno</w:t>
            </w:r>
          </w:p>
          <w:p w14:paraId="345CD7B3" w14:textId="07023C45" w:rsidR="000816BE" w:rsidRPr="00D732E0" w:rsidRDefault="009E6F64" w:rsidP="00095285">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9E6F64">
              <w:rPr>
                <w:rFonts w:asciiTheme="minorHAnsi" w:hAnsiTheme="minorHAnsi"/>
                <w:sz w:val="22"/>
                <w:szCs w:val="22"/>
              </w:rPr>
              <w:t>Rektoři veřejných vysokých škol byli osloveni dopisem</w:t>
            </w:r>
            <w:r w:rsidR="00061085">
              <w:rPr>
                <w:rFonts w:asciiTheme="minorHAnsi" w:hAnsiTheme="minorHAnsi"/>
                <w:sz w:val="22"/>
                <w:szCs w:val="22"/>
              </w:rPr>
              <w:t xml:space="preserve"> </w:t>
            </w:r>
            <w:r w:rsidRPr="009E6F64">
              <w:rPr>
                <w:rFonts w:asciiTheme="minorHAnsi" w:hAnsiTheme="minorHAnsi"/>
                <w:sz w:val="22"/>
                <w:szCs w:val="22"/>
              </w:rPr>
              <w:t>ministra</w:t>
            </w:r>
            <w:r w:rsidR="00095285">
              <w:rPr>
                <w:rFonts w:asciiTheme="minorHAnsi" w:hAnsiTheme="minorHAnsi"/>
                <w:sz w:val="22"/>
                <w:szCs w:val="22"/>
              </w:rPr>
              <w:t xml:space="preserve"> průmyslu a obchodu</w:t>
            </w:r>
            <w:r w:rsidRPr="009E6F64">
              <w:rPr>
                <w:rFonts w:asciiTheme="minorHAnsi" w:hAnsiTheme="minorHAnsi"/>
                <w:sz w:val="22"/>
                <w:szCs w:val="22"/>
              </w:rPr>
              <w:t xml:space="preserve"> ze dne 30.</w:t>
            </w:r>
            <w:r w:rsidR="002F1E7C">
              <w:rPr>
                <w:rFonts w:asciiTheme="minorHAnsi" w:hAnsiTheme="minorHAnsi"/>
                <w:sz w:val="22"/>
                <w:szCs w:val="22"/>
              </w:rPr>
              <w:t> </w:t>
            </w:r>
            <w:r w:rsidRPr="009E6F64">
              <w:rPr>
                <w:rFonts w:asciiTheme="minorHAnsi" w:hAnsiTheme="minorHAnsi"/>
                <w:sz w:val="22"/>
                <w:szCs w:val="22"/>
              </w:rPr>
              <w:t xml:space="preserve">března 2016 a byli současně </w:t>
            </w:r>
            <w:r w:rsidR="00061085">
              <w:rPr>
                <w:rFonts w:asciiTheme="minorHAnsi" w:hAnsiTheme="minorHAnsi"/>
                <w:sz w:val="22"/>
                <w:szCs w:val="22"/>
              </w:rPr>
              <w:t xml:space="preserve">také </w:t>
            </w:r>
            <w:r w:rsidRPr="009E6F64">
              <w:rPr>
                <w:rFonts w:asciiTheme="minorHAnsi" w:hAnsiTheme="minorHAnsi"/>
                <w:sz w:val="22"/>
                <w:szCs w:val="22"/>
              </w:rPr>
              <w:t>pozváni na společné jednání s MŠMT k</w:t>
            </w:r>
            <w:r w:rsidR="00061085">
              <w:rPr>
                <w:rFonts w:asciiTheme="minorHAnsi" w:hAnsiTheme="minorHAnsi"/>
                <w:sz w:val="22"/>
                <w:szCs w:val="22"/>
              </w:rPr>
              <w:t> </w:t>
            </w:r>
            <w:r w:rsidRPr="009E6F64">
              <w:rPr>
                <w:rFonts w:asciiTheme="minorHAnsi" w:hAnsiTheme="minorHAnsi"/>
                <w:sz w:val="22"/>
                <w:szCs w:val="22"/>
              </w:rPr>
              <w:t xml:space="preserve">nástrojům SEK týkajících se působnosti vysokých škol v oblasti vzdělávání. Jednání se uskutečnilo v sídle MŠMT dne 6. května 2016 a v jeho rámci byla diskutována </w:t>
            </w:r>
            <w:r w:rsidR="00095285">
              <w:rPr>
                <w:rFonts w:asciiTheme="minorHAnsi" w:hAnsiTheme="minorHAnsi"/>
                <w:sz w:val="22"/>
                <w:szCs w:val="22"/>
              </w:rPr>
              <w:t xml:space="preserve">rovněž </w:t>
            </w:r>
            <w:r w:rsidRPr="009E6F64">
              <w:rPr>
                <w:rFonts w:asciiTheme="minorHAnsi" w:hAnsiTheme="minorHAnsi"/>
                <w:sz w:val="22"/>
                <w:szCs w:val="22"/>
              </w:rPr>
              <w:t>problematika spolupráce subjektů působících v</w:t>
            </w:r>
            <w:r w:rsidR="00095285">
              <w:rPr>
                <w:rFonts w:asciiTheme="minorHAnsi" w:hAnsiTheme="minorHAnsi"/>
                <w:sz w:val="22"/>
                <w:szCs w:val="22"/>
              </w:rPr>
              <w:t> </w:t>
            </w:r>
            <w:r w:rsidRPr="009E6F64">
              <w:rPr>
                <w:rFonts w:asciiTheme="minorHAnsi" w:hAnsiTheme="minorHAnsi"/>
                <w:sz w:val="22"/>
                <w:szCs w:val="22"/>
              </w:rPr>
              <w:t>energetice s</w:t>
            </w:r>
            <w:r w:rsidR="00061085">
              <w:rPr>
                <w:rFonts w:asciiTheme="minorHAnsi" w:hAnsiTheme="minorHAnsi"/>
                <w:sz w:val="22"/>
                <w:szCs w:val="22"/>
              </w:rPr>
              <w:t> </w:t>
            </w:r>
            <w:r w:rsidRPr="009E6F64">
              <w:rPr>
                <w:rFonts w:asciiTheme="minorHAnsi" w:hAnsiTheme="minorHAnsi"/>
                <w:sz w:val="22"/>
                <w:szCs w:val="22"/>
              </w:rPr>
              <w:t>technickými fakultami. Ze strany MPO byla</w:t>
            </w:r>
            <w:r w:rsidR="00095285">
              <w:rPr>
                <w:rFonts w:asciiTheme="minorHAnsi" w:hAnsiTheme="minorHAnsi"/>
                <w:sz w:val="22"/>
                <w:szCs w:val="22"/>
              </w:rPr>
              <w:t xml:space="preserve"> zástupcům vysokých škol</w:t>
            </w:r>
            <w:r w:rsidRPr="009E6F64">
              <w:rPr>
                <w:rFonts w:asciiTheme="minorHAnsi" w:hAnsiTheme="minorHAnsi"/>
                <w:sz w:val="22"/>
                <w:szCs w:val="22"/>
              </w:rPr>
              <w:t xml:space="preserve"> nabídnuta možnost cíleně oslovit zástupce firem</w:t>
            </w:r>
            <w:r w:rsidR="00095285">
              <w:rPr>
                <w:rFonts w:asciiTheme="minorHAnsi" w:hAnsiTheme="minorHAnsi"/>
                <w:sz w:val="22"/>
                <w:szCs w:val="22"/>
              </w:rPr>
              <w:t xml:space="preserve"> působících</w:t>
            </w:r>
            <w:r w:rsidRPr="009E6F64">
              <w:rPr>
                <w:rFonts w:asciiTheme="minorHAnsi" w:hAnsiTheme="minorHAnsi"/>
                <w:sz w:val="22"/>
                <w:szCs w:val="22"/>
              </w:rPr>
              <w:t xml:space="preserve"> v energetice nebo příslušné asociace a iniciovat jejich setkání se zástupci veřejných vysokých škol o možnostech spolupráce. V</w:t>
            </w:r>
            <w:r w:rsidR="00061085">
              <w:rPr>
                <w:rFonts w:asciiTheme="minorHAnsi" w:hAnsiTheme="minorHAnsi"/>
                <w:sz w:val="22"/>
                <w:szCs w:val="22"/>
              </w:rPr>
              <w:t> </w:t>
            </w:r>
            <w:r w:rsidRPr="009E6F64">
              <w:rPr>
                <w:rFonts w:asciiTheme="minorHAnsi" w:hAnsiTheme="minorHAnsi"/>
                <w:sz w:val="22"/>
                <w:szCs w:val="22"/>
              </w:rPr>
              <w:t>této věci byla také informována Rada vlády pro energetickou a surovinovou strategii prostřednictvím podkladů k jednání, které se uskutečnilo dne 13. října 2016.</w:t>
            </w:r>
          </w:p>
        </w:tc>
      </w:tr>
    </w:tbl>
    <w:p w14:paraId="6B8EAF07" w14:textId="77777777" w:rsidR="00D732E0" w:rsidRDefault="00D732E0">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0816BE" w:rsidRPr="006B443D" w14:paraId="28467FB3" w14:textId="77777777" w:rsidTr="002E4D72">
        <w:tc>
          <w:tcPr>
            <w:tcW w:w="833" w:type="pct"/>
            <w:shd w:val="clear" w:color="auto" w:fill="DBE5F1" w:themeFill="accent1" w:themeFillTint="33"/>
            <w:vAlign w:val="center"/>
          </w:tcPr>
          <w:p w14:paraId="5BDD87C4" w14:textId="77777777" w:rsidR="000816BE" w:rsidRPr="006B443D" w:rsidRDefault="000816BE" w:rsidP="00B2337B">
            <w:pPr>
              <w:keepNext/>
              <w:jc w:val="center"/>
              <w:rPr>
                <w:rFonts w:asciiTheme="minorHAnsi" w:hAnsiTheme="minorHAnsi"/>
                <w:b/>
                <w:sz w:val="22"/>
                <w:szCs w:val="22"/>
              </w:rPr>
            </w:pPr>
            <w:r w:rsidRPr="006B443D">
              <w:rPr>
                <w:rFonts w:asciiTheme="minorHAnsi" w:hAnsiTheme="minorHAnsi"/>
                <w:b/>
                <w:sz w:val="22"/>
                <w:szCs w:val="22"/>
              </w:rPr>
              <w:lastRenderedPageBreak/>
              <w:t>Nástroj</w:t>
            </w:r>
          </w:p>
        </w:tc>
        <w:tc>
          <w:tcPr>
            <w:tcW w:w="4167" w:type="pct"/>
            <w:shd w:val="clear" w:color="auto" w:fill="DBE5F1" w:themeFill="accent1" w:themeFillTint="33"/>
            <w:vAlign w:val="center"/>
          </w:tcPr>
          <w:p w14:paraId="5CAE5D84" w14:textId="77777777" w:rsidR="000816BE" w:rsidRPr="006B443D" w:rsidRDefault="009E6F64" w:rsidP="00B2337B">
            <w:pPr>
              <w:keepNext/>
              <w:spacing w:before="120" w:after="120"/>
              <w:jc w:val="both"/>
              <w:rPr>
                <w:rFonts w:asciiTheme="minorHAnsi" w:hAnsiTheme="minorHAnsi"/>
                <w:b/>
                <w:sz w:val="22"/>
                <w:szCs w:val="22"/>
              </w:rPr>
            </w:pPr>
            <w:r w:rsidRPr="009E6F64">
              <w:rPr>
                <w:rFonts w:asciiTheme="minorHAnsi" w:hAnsiTheme="minorHAnsi"/>
                <w:b/>
                <w:sz w:val="22"/>
                <w:szCs w:val="22"/>
              </w:rPr>
              <w:t>Zajistit podporu společným výzkumným projektům českých a zahraničních výzkumných ústavů, vysokých škol a firem</w:t>
            </w:r>
          </w:p>
        </w:tc>
      </w:tr>
      <w:tr w:rsidR="000816BE" w:rsidRPr="006B443D" w14:paraId="44785223" w14:textId="77777777" w:rsidTr="002E4D72">
        <w:tc>
          <w:tcPr>
            <w:tcW w:w="833" w:type="pct"/>
            <w:vAlign w:val="center"/>
          </w:tcPr>
          <w:p w14:paraId="339DBB56"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4528ACC1" w14:textId="2CF89A0C" w:rsidR="000816BE" w:rsidRPr="006B443D" w:rsidRDefault="009E6F64" w:rsidP="002F1E7C">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9E6F64">
              <w:rPr>
                <w:rFonts w:asciiTheme="minorHAnsi" w:hAnsiTheme="minorHAnsi"/>
                <w:sz w:val="22"/>
                <w:szCs w:val="22"/>
              </w:rPr>
              <w:t xml:space="preserve">V rámci programů </w:t>
            </w:r>
            <w:proofErr w:type="spellStart"/>
            <w:r w:rsidRPr="009E6F64">
              <w:rPr>
                <w:rFonts w:asciiTheme="minorHAnsi" w:hAnsiTheme="minorHAnsi"/>
                <w:sz w:val="22"/>
                <w:szCs w:val="22"/>
              </w:rPr>
              <w:t>VaVaI</w:t>
            </w:r>
            <w:proofErr w:type="spellEnd"/>
            <w:r w:rsidRPr="009E6F64">
              <w:rPr>
                <w:rFonts w:asciiTheme="minorHAnsi" w:hAnsiTheme="minorHAnsi"/>
                <w:sz w:val="22"/>
                <w:szCs w:val="22"/>
              </w:rPr>
              <w:t xml:space="preserve"> zajišťovat podporu společným projektům výzkumu, vývoje a inovací českých a zahraničních výzkumných organizací a podnikatelů v</w:t>
            </w:r>
            <w:r w:rsidR="002F1E7C">
              <w:rPr>
                <w:rFonts w:asciiTheme="minorHAnsi" w:hAnsiTheme="minorHAnsi"/>
                <w:sz w:val="22"/>
                <w:szCs w:val="22"/>
              </w:rPr>
              <w:t> </w:t>
            </w:r>
            <w:r w:rsidRPr="009E6F64">
              <w:rPr>
                <w:rFonts w:asciiTheme="minorHAnsi" w:hAnsiTheme="minorHAnsi"/>
                <w:sz w:val="22"/>
                <w:szCs w:val="22"/>
              </w:rPr>
              <w:t>rámci programů mezinárodní spolupráce.</w:t>
            </w:r>
          </w:p>
        </w:tc>
      </w:tr>
      <w:tr w:rsidR="000816BE" w:rsidRPr="006B443D" w14:paraId="348CD12A" w14:textId="77777777" w:rsidTr="002E4D72">
        <w:tc>
          <w:tcPr>
            <w:tcW w:w="833" w:type="pct"/>
            <w:vAlign w:val="center"/>
          </w:tcPr>
          <w:p w14:paraId="56F3E361"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6566D1D5" w14:textId="77777777" w:rsidR="000816BE" w:rsidRPr="006B443D" w:rsidRDefault="009E6F64" w:rsidP="002E4D72">
            <w:pPr>
              <w:spacing w:before="120" w:after="120"/>
              <w:jc w:val="both"/>
              <w:rPr>
                <w:rFonts w:asciiTheme="minorHAnsi" w:hAnsiTheme="minorHAnsi"/>
                <w:sz w:val="22"/>
                <w:szCs w:val="22"/>
              </w:rPr>
            </w:pPr>
            <w:r w:rsidRPr="009E6F64">
              <w:rPr>
                <w:rFonts w:asciiTheme="minorHAnsi" w:hAnsiTheme="minorHAnsi"/>
                <w:sz w:val="22"/>
                <w:szCs w:val="22"/>
              </w:rPr>
              <w:t>MŠMT a ostatní poskytovatelé</w:t>
            </w:r>
          </w:p>
        </w:tc>
      </w:tr>
      <w:tr w:rsidR="000816BE" w:rsidRPr="006B443D" w14:paraId="1E6DDA70" w14:textId="77777777" w:rsidTr="002E4D72">
        <w:tc>
          <w:tcPr>
            <w:tcW w:w="833" w:type="pct"/>
            <w:vAlign w:val="center"/>
          </w:tcPr>
          <w:p w14:paraId="19410A9B"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6F40A7AF" w14:textId="77777777" w:rsidR="000816BE" w:rsidRPr="006B443D" w:rsidRDefault="009E6F64" w:rsidP="002E4D72">
            <w:pPr>
              <w:spacing w:before="120" w:after="120"/>
              <w:jc w:val="both"/>
              <w:rPr>
                <w:rFonts w:asciiTheme="minorHAnsi" w:hAnsiTheme="minorHAnsi"/>
                <w:sz w:val="22"/>
                <w:szCs w:val="22"/>
              </w:rPr>
            </w:pPr>
            <w:r>
              <w:rPr>
                <w:rFonts w:asciiTheme="minorHAnsi" w:hAnsiTheme="minorHAnsi"/>
                <w:sz w:val="22"/>
                <w:szCs w:val="22"/>
              </w:rPr>
              <w:t>průběžně</w:t>
            </w:r>
          </w:p>
        </w:tc>
      </w:tr>
      <w:tr w:rsidR="000816BE" w:rsidRPr="006B443D" w14:paraId="44105D85" w14:textId="77777777" w:rsidTr="002E4D72">
        <w:tc>
          <w:tcPr>
            <w:tcW w:w="833" w:type="pct"/>
            <w:vAlign w:val="center"/>
          </w:tcPr>
          <w:p w14:paraId="7761C9E2"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7D8AE313" w14:textId="77777777" w:rsidR="009E6F64" w:rsidRPr="009E6F64" w:rsidRDefault="009E6F64" w:rsidP="00E2749D">
            <w:pPr>
              <w:overflowPunct w:val="0"/>
              <w:autoSpaceDE w:val="0"/>
              <w:autoSpaceDN w:val="0"/>
              <w:adjustRightInd w:val="0"/>
              <w:spacing w:before="120" w:after="120"/>
              <w:ind w:left="284" w:hanging="284"/>
              <w:jc w:val="both"/>
              <w:textAlignment w:val="baseline"/>
              <w:rPr>
                <w:rFonts w:asciiTheme="minorHAnsi" w:hAnsiTheme="minorHAnsi"/>
                <w:b/>
                <w:sz w:val="22"/>
                <w:szCs w:val="22"/>
              </w:rPr>
            </w:pPr>
            <w:r w:rsidRPr="009E6F64">
              <w:rPr>
                <w:rFonts w:asciiTheme="minorHAnsi" w:hAnsiTheme="minorHAnsi"/>
                <w:b/>
                <w:sz w:val="22"/>
                <w:szCs w:val="22"/>
              </w:rPr>
              <w:t>Plněno průběžně</w:t>
            </w:r>
          </w:p>
          <w:p w14:paraId="04461183" w14:textId="13ACCC93" w:rsidR="000816BE" w:rsidRDefault="009E6F64" w:rsidP="004F5822">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9E6F64">
              <w:rPr>
                <w:rFonts w:asciiTheme="minorHAnsi" w:hAnsiTheme="minorHAnsi"/>
                <w:sz w:val="22"/>
                <w:szCs w:val="22"/>
              </w:rPr>
              <w:t>MŠMT zajišťuje podporu společným výzkumným projektům českých a</w:t>
            </w:r>
            <w:r w:rsidR="002F1E7C">
              <w:rPr>
                <w:rFonts w:asciiTheme="minorHAnsi" w:hAnsiTheme="minorHAnsi"/>
                <w:sz w:val="22"/>
                <w:szCs w:val="22"/>
              </w:rPr>
              <w:t> </w:t>
            </w:r>
            <w:r w:rsidRPr="009E6F64">
              <w:rPr>
                <w:rFonts w:asciiTheme="minorHAnsi" w:hAnsiTheme="minorHAnsi"/>
                <w:sz w:val="22"/>
                <w:szCs w:val="22"/>
              </w:rPr>
              <w:t>zahraničních výzkumných ústavů, vysokých škol a firem v rámci program</w:t>
            </w:r>
            <w:r w:rsidR="00D527CC">
              <w:rPr>
                <w:rFonts w:asciiTheme="minorHAnsi" w:hAnsiTheme="minorHAnsi"/>
                <w:sz w:val="22"/>
                <w:szCs w:val="22"/>
              </w:rPr>
              <w:t>u</w:t>
            </w:r>
            <w:r w:rsidRPr="009E6F64">
              <w:rPr>
                <w:rFonts w:asciiTheme="minorHAnsi" w:hAnsiTheme="minorHAnsi"/>
                <w:sz w:val="22"/>
                <w:szCs w:val="22"/>
              </w:rPr>
              <w:t xml:space="preserve"> na podporu mezinárodní spolupráce ve </w:t>
            </w:r>
            <w:proofErr w:type="spellStart"/>
            <w:r w:rsidRPr="009E6F64">
              <w:rPr>
                <w:rFonts w:asciiTheme="minorHAnsi" w:hAnsiTheme="minorHAnsi"/>
                <w:sz w:val="22"/>
                <w:szCs w:val="22"/>
              </w:rPr>
              <w:t>VaV</w:t>
            </w:r>
            <w:proofErr w:type="spellEnd"/>
            <w:r w:rsidRPr="009E6F64">
              <w:rPr>
                <w:rFonts w:asciiTheme="minorHAnsi" w:hAnsiTheme="minorHAnsi"/>
                <w:sz w:val="22"/>
                <w:szCs w:val="22"/>
              </w:rPr>
              <w:t xml:space="preserve"> INTER-EXCELLENCE, dále pak v rámci podpory účasti výzkumných organizací a</w:t>
            </w:r>
            <w:r w:rsidR="002F1E7C">
              <w:rPr>
                <w:rFonts w:asciiTheme="minorHAnsi" w:hAnsiTheme="minorHAnsi"/>
                <w:sz w:val="22"/>
                <w:szCs w:val="22"/>
              </w:rPr>
              <w:t> </w:t>
            </w:r>
            <w:r w:rsidRPr="009E6F64">
              <w:rPr>
                <w:rFonts w:asciiTheme="minorHAnsi" w:hAnsiTheme="minorHAnsi"/>
                <w:sz w:val="22"/>
                <w:szCs w:val="22"/>
              </w:rPr>
              <w:t>podniků ČR v projektech rámcového programu Horizont 2020 a jeho dílčích implementačních schématech</w:t>
            </w:r>
            <w:r w:rsidR="006E653E">
              <w:rPr>
                <w:rFonts w:asciiTheme="minorHAnsi" w:hAnsiTheme="minorHAnsi"/>
                <w:sz w:val="22"/>
                <w:szCs w:val="22"/>
              </w:rPr>
              <w:t>, které</w:t>
            </w:r>
            <w:r w:rsidRPr="009E6F64">
              <w:rPr>
                <w:rFonts w:asciiTheme="minorHAnsi" w:hAnsiTheme="minorHAnsi"/>
                <w:sz w:val="22"/>
                <w:szCs w:val="22"/>
              </w:rPr>
              <w:t xml:space="preserve"> vyžadují kofinancování (např. společná technologická iniciativa ECSEL, program EUROSTARS, Evropský metrologický program pro inovace a výzkum EMPIR, iniciativy Společného programování, aktivity ERA-NET a</w:t>
            </w:r>
            <w:r w:rsidR="006E653E">
              <w:rPr>
                <w:rFonts w:asciiTheme="minorHAnsi" w:hAnsiTheme="minorHAnsi"/>
                <w:sz w:val="22"/>
                <w:szCs w:val="22"/>
              </w:rPr>
              <w:t>t</w:t>
            </w:r>
            <w:r w:rsidRPr="009E6F64">
              <w:rPr>
                <w:rFonts w:asciiTheme="minorHAnsi" w:hAnsiTheme="minorHAnsi"/>
                <w:sz w:val="22"/>
                <w:szCs w:val="22"/>
              </w:rPr>
              <w:t>d.). Jedná se o</w:t>
            </w:r>
            <w:r w:rsidR="00D527CC">
              <w:rPr>
                <w:rFonts w:asciiTheme="minorHAnsi" w:hAnsiTheme="minorHAnsi"/>
                <w:sz w:val="22"/>
                <w:szCs w:val="22"/>
              </w:rPr>
              <w:t> </w:t>
            </w:r>
            <w:r w:rsidRPr="009E6F64">
              <w:rPr>
                <w:rFonts w:asciiTheme="minorHAnsi" w:hAnsiTheme="minorHAnsi"/>
                <w:sz w:val="22"/>
                <w:szCs w:val="22"/>
              </w:rPr>
              <w:t>podporu průřezových aktivit, které nejsou specificky tematicky orientované. Důležitý finanční nástroj podpory mezinárodní spolupráce subjektů</w:t>
            </w:r>
            <w:r w:rsidR="00BA2E70">
              <w:rPr>
                <w:rFonts w:asciiTheme="minorHAnsi" w:hAnsiTheme="minorHAnsi"/>
                <w:sz w:val="22"/>
                <w:szCs w:val="22"/>
              </w:rPr>
              <w:t xml:space="preserve"> z</w:t>
            </w:r>
            <w:r w:rsidR="00E83384">
              <w:rPr>
                <w:rFonts w:asciiTheme="minorHAnsi" w:hAnsiTheme="minorHAnsi"/>
                <w:sz w:val="22"/>
                <w:szCs w:val="22"/>
              </w:rPr>
              <w:t> </w:t>
            </w:r>
            <w:r w:rsidRPr="009E6F64">
              <w:rPr>
                <w:rFonts w:asciiTheme="minorHAnsi" w:hAnsiTheme="minorHAnsi"/>
                <w:sz w:val="22"/>
                <w:szCs w:val="22"/>
              </w:rPr>
              <w:t>Č</w:t>
            </w:r>
            <w:r w:rsidR="00E83384">
              <w:rPr>
                <w:rFonts w:asciiTheme="minorHAnsi" w:hAnsiTheme="minorHAnsi"/>
                <w:sz w:val="22"/>
                <w:szCs w:val="22"/>
              </w:rPr>
              <w:t>eské republiky</w:t>
            </w:r>
            <w:r w:rsidRPr="009E6F64">
              <w:rPr>
                <w:rFonts w:asciiTheme="minorHAnsi" w:hAnsiTheme="minorHAnsi"/>
                <w:sz w:val="22"/>
                <w:szCs w:val="22"/>
              </w:rPr>
              <w:t xml:space="preserve"> ve </w:t>
            </w:r>
            <w:proofErr w:type="spellStart"/>
            <w:r w:rsidRPr="009E6F64">
              <w:rPr>
                <w:rFonts w:asciiTheme="minorHAnsi" w:hAnsiTheme="minorHAnsi"/>
                <w:sz w:val="22"/>
                <w:szCs w:val="22"/>
              </w:rPr>
              <w:t>VaV</w:t>
            </w:r>
            <w:proofErr w:type="spellEnd"/>
            <w:r w:rsidRPr="009E6F64">
              <w:rPr>
                <w:rFonts w:asciiTheme="minorHAnsi" w:hAnsiTheme="minorHAnsi"/>
                <w:sz w:val="22"/>
                <w:szCs w:val="22"/>
              </w:rPr>
              <w:t xml:space="preserve"> představuje rovněž Operační program Výzkum, vývoj a vzdělávání (OP VVV) a</w:t>
            </w:r>
            <w:r w:rsidR="00D527CC">
              <w:rPr>
                <w:rFonts w:asciiTheme="minorHAnsi" w:hAnsiTheme="minorHAnsi"/>
                <w:sz w:val="22"/>
                <w:szCs w:val="22"/>
              </w:rPr>
              <w:t> </w:t>
            </w:r>
            <w:r w:rsidRPr="009E6F64">
              <w:rPr>
                <w:rFonts w:asciiTheme="minorHAnsi" w:hAnsiTheme="minorHAnsi"/>
                <w:sz w:val="22"/>
                <w:szCs w:val="22"/>
              </w:rPr>
              <w:t xml:space="preserve">jeho partikulární výzvy takto zaměřené (Podpora excelentních výzkumných týmů, </w:t>
            </w:r>
            <w:r w:rsidR="00F730CD">
              <w:rPr>
                <w:rFonts w:asciiTheme="minorHAnsi" w:hAnsiTheme="minorHAnsi"/>
                <w:sz w:val="22"/>
                <w:szCs w:val="22"/>
              </w:rPr>
              <w:t>Excelentní výzkum, Dlouhodobá mezisektorová spolupráce,</w:t>
            </w:r>
            <w:r w:rsidRPr="009E6F64">
              <w:rPr>
                <w:rFonts w:asciiTheme="minorHAnsi" w:hAnsiTheme="minorHAnsi"/>
                <w:sz w:val="22"/>
                <w:szCs w:val="22"/>
              </w:rPr>
              <w:t xml:space="preserve"> Mezinárodní mobilita výzkumných pracovníků</w:t>
            </w:r>
            <w:r w:rsidR="00F730CD">
              <w:rPr>
                <w:rFonts w:asciiTheme="minorHAnsi" w:hAnsiTheme="minorHAnsi"/>
                <w:sz w:val="22"/>
                <w:szCs w:val="22"/>
              </w:rPr>
              <w:t xml:space="preserve"> apod.</w:t>
            </w:r>
            <w:r w:rsidRPr="009E6F64">
              <w:rPr>
                <w:rFonts w:asciiTheme="minorHAnsi" w:hAnsiTheme="minorHAnsi"/>
                <w:sz w:val="22"/>
                <w:szCs w:val="22"/>
              </w:rPr>
              <w:t>).</w:t>
            </w:r>
          </w:p>
          <w:p w14:paraId="54365965" w14:textId="67599BBC" w:rsidR="00111DFF" w:rsidRPr="00D732E0" w:rsidRDefault="00111DFF" w:rsidP="000D121B">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111DFF">
              <w:rPr>
                <w:rFonts w:asciiTheme="minorHAnsi" w:hAnsiTheme="minorHAnsi"/>
                <w:sz w:val="22"/>
                <w:szCs w:val="22"/>
              </w:rPr>
              <w:t>TA ČR podporu</w:t>
            </w:r>
            <w:r>
              <w:rPr>
                <w:rFonts w:asciiTheme="minorHAnsi" w:hAnsiTheme="minorHAnsi"/>
                <w:sz w:val="22"/>
                <w:szCs w:val="22"/>
              </w:rPr>
              <w:t>je</w:t>
            </w:r>
            <w:r w:rsidRPr="00111DFF">
              <w:rPr>
                <w:rFonts w:asciiTheme="minorHAnsi" w:hAnsiTheme="minorHAnsi"/>
                <w:sz w:val="22"/>
                <w:szCs w:val="22"/>
              </w:rPr>
              <w:t xml:space="preserve"> mezinárodní spolupráci v rámci programu DELTA</w:t>
            </w:r>
            <w:r>
              <w:rPr>
                <w:rFonts w:asciiTheme="minorHAnsi" w:hAnsiTheme="minorHAnsi"/>
                <w:sz w:val="22"/>
                <w:szCs w:val="22"/>
              </w:rPr>
              <w:t>, který</w:t>
            </w:r>
            <w:r w:rsidRPr="00111DFF">
              <w:rPr>
                <w:rFonts w:asciiTheme="minorHAnsi" w:hAnsiTheme="minorHAnsi"/>
                <w:sz w:val="22"/>
                <w:szCs w:val="22"/>
              </w:rPr>
              <w:t xml:space="preserve"> je zaměřen na podporu spolupráce v aplikovaném výzkumu a experimentálním vývoji prostřednictvím společných projektů podniků a výzkumných organizací podporovaných</w:t>
            </w:r>
            <w:r>
              <w:rPr>
                <w:rFonts w:asciiTheme="minorHAnsi" w:hAnsiTheme="minorHAnsi"/>
                <w:sz w:val="22"/>
                <w:szCs w:val="22"/>
              </w:rPr>
              <w:t xml:space="preserve"> ze strany</w:t>
            </w:r>
            <w:r w:rsidRPr="00111DFF">
              <w:rPr>
                <w:rFonts w:asciiTheme="minorHAnsi" w:hAnsiTheme="minorHAnsi"/>
                <w:sz w:val="22"/>
                <w:szCs w:val="22"/>
              </w:rPr>
              <w:t xml:space="preserve"> T</w:t>
            </w:r>
            <w:r>
              <w:rPr>
                <w:rFonts w:asciiTheme="minorHAnsi" w:hAnsiTheme="minorHAnsi"/>
                <w:sz w:val="22"/>
                <w:szCs w:val="22"/>
              </w:rPr>
              <w:t>A</w:t>
            </w:r>
            <w:r w:rsidRPr="00111DFF">
              <w:rPr>
                <w:rFonts w:asciiTheme="minorHAnsi" w:hAnsiTheme="minorHAnsi"/>
                <w:sz w:val="22"/>
                <w:szCs w:val="22"/>
              </w:rPr>
              <w:t xml:space="preserve"> </w:t>
            </w:r>
            <w:r>
              <w:rPr>
                <w:rFonts w:asciiTheme="minorHAnsi" w:hAnsiTheme="minorHAnsi"/>
                <w:sz w:val="22"/>
                <w:szCs w:val="22"/>
              </w:rPr>
              <w:t>ČR</w:t>
            </w:r>
            <w:r w:rsidRPr="00111DFF">
              <w:rPr>
                <w:rFonts w:asciiTheme="minorHAnsi" w:hAnsiTheme="minorHAnsi"/>
                <w:sz w:val="22"/>
                <w:szCs w:val="22"/>
              </w:rPr>
              <w:t xml:space="preserve"> a významnými zahraničními technologickými a</w:t>
            </w:r>
            <w:r>
              <w:rPr>
                <w:rFonts w:asciiTheme="minorHAnsi" w:hAnsiTheme="minorHAnsi"/>
                <w:sz w:val="22"/>
                <w:szCs w:val="22"/>
              </w:rPr>
              <w:t> </w:t>
            </w:r>
            <w:r w:rsidRPr="00111DFF">
              <w:rPr>
                <w:rFonts w:asciiTheme="minorHAnsi" w:hAnsiTheme="minorHAnsi"/>
                <w:sz w:val="22"/>
                <w:szCs w:val="22"/>
              </w:rPr>
              <w:t>inovač</w:t>
            </w:r>
            <w:r w:rsidRPr="00402042">
              <w:rPr>
                <w:rFonts w:asciiTheme="minorHAnsi" w:hAnsiTheme="minorHAnsi"/>
                <w:sz w:val="22"/>
                <w:szCs w:val="22"/>
              </w:rPr>
              <w:t>ními agenturami či jinými obdobnými institucemi, se kterými má/bude mít TA ČR v době vyhlášení veřejné soutěže ve výzkumu, vývoji a</w:t>
            </w:r>
            <w:r w:rsidR="00AD2F32" w:rsidRPr="00402042">
              <w:rPr>
                <w:rFonts w:asciiTheme="minorHAnsi" w:hAnsiTheme="minorHAnsi"/>
                <w:sz w:val="22"/>
                <w:szCs w:val="22"/>
              </w:rPr>
              <w:t xml:space="preserve"> inovacích navázánu spolupráci.</w:t>
            </w:r>
            <w:r w:rsidR="00402042" w:rsidRPr="00402042">
              <w:rPr>
                <w:rFonts w:ascii="Calibri" w:eastAsia="Calibri" w:hAnsi="Calibri" w:cs="Calibri"/>
                <w:color w:val="000000"/>
                <w:sz w:val="22"/>
                <w:szCs w:val="22"/>
              </w:rPr>
              <w:t xml:space="preserve"> Na program DELTA naváže od roku 2018 program DELTA 2, jehož zaměření je obdobné. V roce 2018 byl také schválen program KAPPA, který je taktéž zaměřen na mezinárodní spolupráci v oblasti </w:t>
            </w:r>
            <w:proofErr w:type="spellStart"/>
            <w:r w:rsidR="00402042" w:rsidRPr="00402042">
              <w:rPr>
                <w:rFonts w:ascii="Calibri" w:eastAsia="Calibri" w:hAnsi="Calibri" w:cs="Calibri"/>
                <w:color w:val="000000"/>
                <w:sz w:val="22"/>
                <w:szCs w:val="22"/>
              </w:rPr>
              <w:t>VaVaI</w:t>
            </w:r>
            <w:proofErr w:type="spellEnd"/>
            <w:r w:rsidR="00402042" w:rsidRPr="00402042">
              <w:rPr>
                <w:rFonts w:ascii="Calibri" w:eastAsia="Calibri" w:hAnsi="Calibri" w:cs="Calibri"/>
                <w:color w:val="000000"/>
                <w:sz w:val="22"/>
                <w:szCs w:val="22"/>
              </w:rPr>
              <w:t>. Tento program je financovaný z Finančních mechanism</w:t>
            </w:r>
            <w:r w:rsidR="00402042" w:rsidRPr="00402042">
              <w:rPr>
                <w:rFonts w:ascii="Calibri" w:eastAsia="Calibri" w:hAnsi="Calibri" w:cs="Calibri"/>
                <w:sz w:val="22"/>
                <w:szCs w:val="22"/>
              </w:rPr>
              <w:t>ů Evropského hospodářského prostoru a Norska a má za cíl podpořit spolupráci v aplikovaném výzkumu a</w:t>
            </w:r>
            <w:r w:rsidR="008274B3">
              <w:rPr>
                <w:rFonts w:ascii="Calibri" w:eastAsia="Calibri" w:hAnsi="Calibri" w:cs="Calibri"/>
                <w:sz w:val="22"/>
                <w:szCs w:val="22"/>
              </w:rPr>
              <w:t> </w:t>
            </w:r>
            <w:r w:rsidR="00402042" w:rsidRPr="00402042">
              <w:rPr>
                <w:rFonts w:ascii="Calibri" w:eastAsia="Calibri" w:hAnsi="Calibri" w:cs="Calibri"/>
                <w:sz w:val="22"/>
                <w:szCs w:val="22"/>
              </w:rPr>
              <w:t>vývoji mezi českými subjekty se subjekty z No</w:t>
            </w:r>
            <w:r w:rsidR="004F5822">
              <w:rPr>
                <w:rFonts w:ascii="Calibri" w:eastAsia="Calibri" w:hAnsi="Calibri" w:cs="Calibri"/>
                <w:sz w:val="22"/>
                <w:szCs w:val="22"/>
              </w:rPr>
              <w:t>rska, Islandu a Lichtenštejnska. V</w:t>
            </w:r>
            <w:r w:rsidR="004F5822" w:rsidRPr="004F5822">
              <w:rPr>
                <w:rFonts w:ascii="Calibri" w:eastAsia="Calibri" w:hAnsi="Calibri" w:cs="Calibri"/>
                <w:sz w:val="22"/>
                <w:szCs w:val="22"/>
              </w:rPr>
              <w:t xml:space="preserve">edlejším cílem programu </w:t>
            </w:r>
            <w:r w:rsidR="004F5822">
              <w:rPr>
                <w:rFonts w:ascii="Calibri" w:eastAsia="Calibri" w:hAnsi="Calibri" w:cs="Calibri"/>
                <w:sz w:val="22"/>
                <w:szCs w:val="22"/>
              </w:rPr>
              <w:t xml:space="preserve">KAPPA </w:t>
            </w:r>
            <w:r w:rsidR="004F5822" w:rsidRPr="004F5822">
              <w:rPr>
                <w:rFonts w:ascii="Calibri" w:eastAsia="Calibri" w:hAnsi="Calibri" w:cs="Calibri"/>
                <w:sz w:val="22"/>
                <w:szCs w:val="22"/>
              </w:rPr>
              <w:t xml:space="preserve">je </w:t>
            </w:r>
            <w:r w:rsidR="004F5822">
              <w:rPr>
                <w:rFonts w:ascii="Calibri" w:eastAsia="Calibri" w:hAnsi="Calibri" w:cs="Calibri"/>
                <w:sz w:val="22"/>
                <w:szCs w:val="22"/>
              </w:rPr>
              <w:t xml:space="preserve">potom </w:t>
            </w:r>
            <w:r w:rsidR="004F5822" w:rsidRPr="004F5822">
              <w:rPr>
                <w:rFonts w:ascii="Calibri" w:eastAsia="Calibri" w:hAnsi="Calibri" w:cs="Calibri"/>
                <w:sz w:val="22"/>
                <w:szCs w:val="22"/>
              </w:rPr>
              <w:t>podpora projektů zaměřených na zachytávání a ukládání uhlíku</w:t>
            </w:r>
            <w:r w:rsidR="004F5822">
              <w:rPr>
                <w:rFonts w:ascii="Calibri" w:eastAsia="Calibri" w:hAnsi="Calibri" w:cs="Calibri"/>
                <w:sz w:val="22"/>
                <w:szCs w:val="22"/>
              </w:rPr>
              <w:t>.</w:t>
            </w:r>
          </w:p>
        </w:tc>
      </w:tr>
    </w:tbl>
    <w:p w14:paraId="42E08B63" w14:textId="77777777" w:rsidR="000816BE" w:rsidRDefault="000816BE">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0816BE" w:rsidRPr="006B443D" w14:paraId="1BFB31C5" w14:textId="77777777" w:rsidTr="002E4D72">
        <w:tc>
          <w:tcPr>
            <w:tcW w:w="833" w:type="pct"/>
            <w:shd w:val="clear" w:color="auto" w:fill="DBE5F1" w:themeFill="accent1" w:themeFillTint="33"/>
            <w:vAlign w:val="center"/>
          </w:tcPr>
          <w:p w14:paraId="3B502729" w14:textId="77777777" w:rsidR="000816BE" w:rsidRPr="006B443D" w:rsidRDefault="000816BE" w:rsidP="00B2337B">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0CFB33B4" w14:textId="77777777" w:rsidR="000816BE" w:rsidRPr="006B443D" w:rsidRDefault="009E6F64" w:rsidP="00B2337B">
            <w:pPr>
              <w:keepNext/>
              <w:spacing w:before="120" w:after="120"/>
              <w:jc w:val="both"/>
              <w:rPr>
                <w:rFonts w:asciiTheme="minorHAnsi" w:hAnsiTheme="minorHAnsi"/>
                <w:b/>
                <w:sz w:val="22"/>
                <w:szCs w:val="22"/>
              </w:rPr>
            </w:pPr>
            <w:r w:rsidRPr="009E6F64">
              <w:rPr>
                <w:rFonts w:asciiTheme="minorHAnsi" w:hAnsiTheme="minorHAnsi"/>
                <w:b/>
                <w:sz w:val="22"/>
                <w:szCs w:val="22"/>
              </w:rPr>
              <w:t xml:space="preserve">Zajistit podporu pilotních projektů </w:t>
            </w:r>
            <w:proofErr w:type="spellStart"/>
            <w:r w:rsidRPr="009E6F64">
              <w:rPr>
                <w:rFonts w:asciiTheme="minorHAnsi" w:hAnsiTheme="minorHAnsi"/>
                <w:b/>
                <w:sz w:val="22"/>
                <w:szCs w:val="22"/>
              </w:rPr>
              <w:t>VaV</w:t>
            </w:r>
            <w:proofErr w:type="spellEnd"/>
            <w:r w:rsidRPr="009E6F64">
              <w:rPr>
                <w:rFonts w:asciiTheme="minorHAnsi" w:hAnsiTheme="minorHAnsi"/>
                <w:b/>
                <w:sz w:val="22"/>
                <w:szCs w:val="22"/>
              </w:rPr>
              <w:t xml:space="preserve"> v oblasti energetiky v návaznosti na SET plán</w:t>
            </w:r>
          </w:p>
        </w:tc>
      </w:tr>
      <w:tr w:rsidR="000816BE" w:rsidRPr="006B443D" w14:paraId="6E3BE942" w14:textId="77777777" w:rsidTr="00323AE1">
        <w:trPr>
          <w:cantSplit/>
        </w:trPr>
        <w:tc>
          <w:tcPr>
            <w:tcW w:w="833" w:type="pct"/>
            <w:vAlign w:val="center"/>
          </w:tcPr>
          <w:p w14:paraId="0EB120F2"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3C49973E" w14:textId="77777777" w:rsidR="000816BE" w:rsidRPr="006B443D" w:rsidRDefault="009E6F64" w:rsidP="009E6F64">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9E6F64">
              <w:rPr>
                <w:rFonts w:asciiTheme="minorHAnsi" w:hAnsiTheme="minorHAnsi"/>
                <w:sz w:val="22"/>
                <w:szCs w:val="22"/>
              </w:rPr>
              <w:t xml:space="preserve">Orientovat nový program strategicky usměrňované podpory výzkumných projektů v oblasti energetiky (inteligentní sítě, </w:t>
            </w:r>
            <w:proofErr w:type="spellStart"/>
            <w:r w:rsidRPr="009E6F64">
              <w:rPr>
                <w:rFonts w:asciiTheme="minorHAnsi" w:hAnsiTheme="minorHAnsi"/>
                <w:sz w:val="22"/>
                <w:szCs w:val="22"/>
              </w:rPr>
              <w:t>elektroakumulace</w:t>
            </w:r>
            <w:proofErr w:type="spellEnd"/>
            <w:r w:rsidRPr="009E6F64">
              <w:rPr>
                <w:rFonts w:asciiTheme="minorHAnsi" w:hAnsiTheme="minorHAnsi"/>
                <w:sz w:val="22"/>
                <w:szCs w:val="22"/>
              </w:rPr>
              <w:t xml:space="preserve">, </w:t>
            </w:r>
            <w:proofErr w:type="spellStart"/>
            <w:r w:rsidRPr="009E6F64">
              <w:rPr>
                <w:rFonts w:asciiTheme="minorHAnsi" w:hAnsiTheme="minorHAnsi"/>
                <w:sz w:val="22"/>
                <w:szCs w:val="22"/>
              </w:rPr>
              <w:t>VaV</w:t>
            </w:r>
            <w:proofErr w:type="spellEnd"/>
            <w:r w:rsidRPr="009E6F64">
              <w:rPr>
                <w:rFonts w:asciiTheme="minorHAnsi" w:hAnsiTheme="minorHAnsi"/>
                <w:sz w:val="22"/>
                <w:szCs w:val="22"/>
              </w:rPr>
              <w:t xml:space="preserve"> v oblasti jaderných technologií) v kontextu prioritní oblasti „Udržitelná energetika“ podle usnesení vlády České republiky ze dne 19. července 2012 č. 552 Národní priority orientovaného výzkumu, experimentálního vývoje a inovací.“ a potřeb plynoucích z naplňování Státní energetické koncepce.</w:t>
            </w:r>
          </w:p>
        </w:tc>
      </w:tr>
      <w:tr w:rsidR="000816BE" w:rsidRPr="006B443D" w14:paraId="65935478" w14:textId="77777777" w:rsidTr="002E4D72">
        <w:tc>
          <w:tcPr>
            <w:tcW w:w="833" w:type="pct"/>
            <w:vAlign w:val="center"/>
          </w:tcPr>
          <w:p w14:paraId="0B706A9D"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lastRenderedPageBreak/>
              <w:t>Gesce</w:t>
            </w:r>
          </w:p>
        </w:tc>
        <w:tc>
          <w:tcPr>
            <w:tcW w:w="4167" w:type="pct"/>
            <w:vAlign w:val="center"/>
          </w:tcPr>
          <w:p w14:paraId="72B6B038" w14:textId="77777777" w:rsidR="000816BE" w:rsidRPr="006B443D" w:rsidRDefault="009E6F64" w:rsidP="002E4D72">
            <w:pPr>
              <w:spacing w:before="120" w:after="120"/>
              <w:jc w:val="both"/>
              <w:rPr>
                <w:rFonts w:asciiTheme="minorHAnsi" w:hAnsiTheme="minorHAnsi"/>
                <w:sz w:val="22"/>
                <w:szCs w:val="22"/>
              </w:rPr>
            </w:pPr>
            <w:r w:rsidRPr="009E6F64">
              <w:rPr>
                <w:rFonts w:asciiTheme="minorHAnsi" w:hAnsiTheme="minorHAnsi"/>
                <w:sz w:val="22"/>
                <w:szCs w:val="22"/>
              </w:rPr>
              <w:t>TA ČR, v součinnosti s MPO a MŠMT</w:t>
            </w:r>
          </w:p>
        </w:tc>
      </w:tr>
      <w:tr w:rsidR="000816BE" w:rsidRPr="006B443D" w14:paraId="04BFC5EB" w14:textId="77777777" w:rsidTr="002E4D72">
        <w:tc>
          <w:tcPr>
            <w:tcW w:w="833" w:type="pct"/>
            <w:vAlign w:val="center"/>
          </w:tcPr>
          <w:p w14:paraId="601C70CF"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3E20A0A6" w14:textId="77777777" w:rsidR="000816BE" w:rsidRPr="006B443D" w:rsidRDefault="009E6F64" w:rsidP="002E4D72">
            <w:pPr>
              <w:spacing w:before="120" w:after="120"/>
              <w:jc w:val="both"/>
              <w:rPr>
                <w:rFonts w:asciiTheme="minorHAnsi" w:hAnsiTheme="minorHAnsi"/>
                <w:sz w:val="22"/>
                <w:szCs w:val="22"/>
              </w:rPr>
            </w:pPr>
            <w:r w:rsidRPr="009E6F64">
              <w:rPr>
                <w:rFonts w:asciiTheme="minorHAnsi" w:hAnsiTheme="minorHAnsi"/>
                <w:sz w:val="22"/>
                <w:szCs w:val="22"/>
              </w:rPr>
              <w:t>podle usnesení vlády č. 552 ze dne 19. července 2012</w:t>
            </w:r>
          </w:p>
        </w:tc>
      </w:tr>
      <w:tr w:rsidR="000816BE" w:rsidRPr="006B443D" w14:paraId="03372448" w14:textId="77777777" w:rsidTr="002E4D72">
        <w:tc>
          <w:tcPr>
            <w:tcW w:w="833" w:type="pct"/>
            <w:vAlign w:val="center"/>
          </w:tcPr>
          <w:p w14:paraId="4C187208"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60DB7672" w14:textId="57EA18D8" w:rsidR="009E6F64" w:rsidRPr="009E6F64" w:rsidRDefault="004F36EF" w:rsidP="009E6F64">
            <w:pPr>
              <w:overflowPunct w:val="0"/>
              <w:autoSpaceDE w:val="0"/>
              <w:autoSpaceDN w:val="0"/>
              <w:adjustRightInd w:val="0"/>
              <w:spacing w:before="120" w:after="120"/>
              <w:jc w:val="both"/>
              <w:textAlignment w:val="baseline"/>
              <w:rPr>
                <w:rFonts w:asciiTheme="minorHAnsi" w:hAnsiTheme="minorHAnsi"/>
                <w:b/>
                <w:sz w:val="22"/>
                <w:szCs w:val="22"/>
              </w:rPr>
            </w:pPr>
            <w:r>
              <w:rPr>
                <w:rFonts w:asciiTheme="minorHAnsi" w:hAnsiTheme="minorHAnsi"/>
                <w:b/>
                <w:sz w:val="22"/>
                <w:szCs w:val="22"/>
              </w:rPr>
              <w:t>Splněno</w:t>
            </w:r>
          </w:p>
          <w:p w14:paraId="5E5BCF93" w14:textId="5EB9BDDD" w:rsidR="000816BE" w:rsidRPr="00D732E0" w:rsidRDefault="00B71D4F" w:rsidP="00AC2C7D">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8F01FC">
              <w:rPr>
                <w:rFonts w:asciiTheme="minorHAnsi" w:hAnsiTheme="minorHAnsi"/>
                <w:sz w:val="22"/>
                <w:szCs w:val="22"/>
              </w:rPr>
              <w:t>Dne 19. prosince 2016 byl vládou ČR, usnesením č. 1</w:t>
            </w:r>
            <w:r w:rsidR="007A2F31">
              <w:rPr>
                <w:rFonts w:asciiTheme="minorHAnsi" w:hAnsiTheme="minorHAnsi"/>
                <w:sz w:val="22"/>
                <w:szCs w:val="22"/>
              </w:rPr>
              <w:t xml:space="preserve"> </w:t>
            </w:r>
            <w:r w:rsidRPr="008F01FC">
              <w:rPr>
                <w:rFonts w:asciiTheme="minorHAnsi" w:hAnsiTheme="minorHAnsi"/>
                <w:sz w:val="22"/>
                <w:szCs w:val="22"/>
              </w:rPr>
              <w:t>173, schválen Program</w:t>
            </w:r>
            <w:r>
              <w:t xml:space="preserve"> </w:t>
            </w:r>
            <w:r w:rsidRPr="008F01FC">
              <w:rPr>
                <w:rFonts w:asciiTheme="minorHAnsi" w:hAnsiTheme="minorHAnsi"/>
                <w:sz w:val="22"/>
                <w:szCs w:val="22"/>
              </w:rPr>
              <w:t>na podporu aplikovaného výzkumu, experimentálního vývoje a inovací THÉTA, který připravila TA ČR, a to ve spolupráci s MPO, SÚJB, ERÚ, MŠMT a dalšími zainteresovanými subjekty. Tento program je zaměřen na podporu výzkumu, vývoje a inovací v sektoru energetiky a je členěn na tři podprogramy postihující oblasti výzkumu ve veřejném zájmu, strategických energetických technologií a dlouhodobých technologických perspektiv.</w:t>
            </w:r>
            <w:r>
              <w:rPr>
                <w:rFonts w:asciiTheme="minorHAnsi" w:hAnsiTheme="minorHAnsi"/>
                <w:sz w:val="22"/>
                <w:szCs w:val="22"/>
              </w:rPr>
              <w:t xml:space="preserve"> </w:t>
            </w:r>
            <w:r w:rsidRPr="008F01FC">
              <w:rPr>
                <w:rFonts w:asciiTheme="minorHAnsi" w:hAnsiTheme="minorHAnsi"/>
                <w:sz w:val="22"/>
                <w:szCs w:val="22"/>
              </w:rPr>
              <w:t>Doba trvání</w:t>
            </w:r>
            <w:r>
              <w:rPr>
                <w:rFonts w:asciiTheme="minorHAnsi" w:hAnsiTheme="minorHAnsi"/>
                <w:sz w:val="22"/>
                <w:szCs w:val="22"/>
              </w:rPr>
              <w:t xml:space="preserve"> tohoto</w:t>
            </w:r>
            <w:r w:rsidRPr="008F01FC">
              <w:rPr>
                <w:rFonts w:asciiTheme="minorHAnsi" w:hAnsiTheme="minorHAnsi"/>
                <w:sz w:val="22"/>
                <w:szCs w:val="22"/>
              </w:rPr>
              <w:t xml:space="preserve"> </w:t>
            </w:r>
            <w:r>
              <w:rPr>
                <w:rFonts w:asciiTheme="minorHAnsi" w:hAnsiTheme="minorHAnsi"/>
                <w:sz w:val="22"/>
                <w:szCs w:val="22"/>
              </w:rPr>
              <w:t>programu se předpokládá</w:t>
            </w:r>
            <w:r w:rsidRPr="008F01FC">
              <w:rPr>
                <w:rFonts w:asciiTheme="minorHAnsi" w:hAnsiTheme="minorHAnsi"/>
                <w:sz w:val="22"/>
                <w:szCs w:val="22"/>
              </w:rPr>
              <w:t xml:space="preserve"> v letech 2018 až 2025</w:t>
            </w:r>
            <w:r>
              <w:rPr>
                <w:rFonts w:asciiTheme="minorHAnsi" w:hAnsiTheme="minorHAnsi"/>
                <w:sz w:val="22"/>
                <w:szCs w:val="22"/>
              </w:rPr>
              <w:t>.</w:t>
            </w:r>
            <w:r>
              <w:t xml:space="preserve"> </w:t>
            </w:r>
            <w:r>
              <w:rPr>
                <w:rFonts w:asciiTheme="minorHAnsi" w:hAnsiTheme="minorHAnsi"/>
                <w:sz w:val="22"/>
                <w:szCs w:val="22"/>
              </w:rPr>
              <w:t>První v</w:t>
            </w:r>
            <w:r w:rsidRPr="008F01FC">
              <w:rPr>
                <w:rFonts w:asciiTheme="minorHAnsi" w:hAnsiTheme="minorHAnsi"/>
                <w:sz w:val="22"/>
                <w:szCs w:val="22"/>
              </w:rPr>
              <w:t xml:space="preserve">eřejná soutěž na výběr projektů do programu </w:t>
            </w:r>
            <w:r w:rsidR="0096646F">
              <w:rPr>
                <w:rFonts w:asciiTheme="minorHAnsi" w:hAnsiTheme="minorHAnsi"/>
                <w:sz w:val="22"/>
                <w:szCs w:val="22"/>
              </w:rPr>
              <w:t>byla</w:t>
            </w:r>
            <w:r w:rsidRPr="008F01FC">
              <w:rPr>
                <w:rFonts w:asciiTheme="minorHAnsi" w:hAnsiTheme="minorHAnsi"/>
                <w:sz w:val="22"/>
                <w:szCs w:val="22"/>
              </w:rPr>
              <w:t xml:space="preserve"> vyhlášena </w:t>
            </w:r>
            <w:r w:rsidR="0096646F">
              <w:rPr>
                <w:rFonts w:asciiTheme="minorHAnsi" w:hAnsiTheme="minorHAnsi"/>
                <w:sz w:val="22"/>
                <w:szCs w:val="22"/>
              </w:rPr>
              <w:t>31. října</w:t>
            </w:r>
            <w:r w:rsidRPr="008F01FC">
              <w:rPr>
                <w:rFonts w:asciiTheme="minorHAnsi" w:hAnsiTheme="minorHAnsi"/>
                <w:sz w:val="22"/>
                <w:szCs w:val="22"/>
              </w:rPr>
              <w:t xml:space="preserve"> 2017 se zahájením </w:t>
            </w:r>
            <w:r>
              <w:rPr>
                <w:rFonts w:asciiTheme="minorHAnsi" w:hAnsiTheme="minorHAnsi"/>
                <w:sz w:val="22"/>
                <w:szCs w:val="22"/>
              </w:rPr>
              <w:t>poskytování podpory v</w:t>
            </w:r>
            <w:r w:rsidR="0096646F">
              <w:rPr>
                <w:rFonts w:asciiTheme="minorHAnsi" w:hAnsiTheme="minorHAnsi"/>
                <w:sz w:val="22"/>
                <w:szCs w:val="22"/>
              </w:rPr>
              <w:t> </w:t>
            </w:r>
            <w:r>
              <w:rPr>
                <w:rFonts w:asciiTheme="minorHAnsi" w:hAnsiTheme="minorHAnsi"/>
                <w:sz w:val="22"/>
                <w:szCs w:val="22"/>
              </w:rPr>
              <w:t>roce 2018</w:t>
            </w:r>
            <w:r w:rsidR="0096646F">
              <w:rPr>
                <w:rFonts w:asciiTheme="minorHAnsi" w:hAnsiTheme="minorHAnsi"/>
                <w:sz w:val="22"/>
                <w:szCs w:val="22"/>
              </w:rPr>
              <w:t xml:space="preserve">, a to ve všech třech podprogramech. </w:t>
            </w:r>
            <w:r w:rsidR="0096646F" w:rsidRPr="005530D2">
              <w:rPr>
                <w:rFonts w:asciiTheme="minorHAnsi" w:hAnsiTheme="minorHAnsi"/>
                <w:sz w:val="22"/>
                <w:szCs w:val="22"/>
              </w:rPr>
              <w:t xml:space="preserve">Celkem bylo do </w:t>
            </w:r>
            <w:r w:rsidR="0096646F">
              <w:rPr>
                <w:rFonts w:asciiTheme="minorHAnsi" w:hAnsiTheme="minorHAnsi"/>
                <w:sz w:val="22"/>
                <w:szCs w:val="22"/>
              </w:rPr>
              <w:t xml:space="preserve">první </w:t>
            </w:r>
            <w:r w:rsidR="0096646F" w:rsidRPr="005530D2">
              <w:rPr>
                <w:rFonts w:asciiTheme="minorHAnsi" w:hAnsiTheme="minorHAnsi"/>
                <w:sz w:val="22"/>
                <w:szCs w:val="22"/>
              </w:rPr>
              <w:t>veřejné soutěže podáno 102 návrhů projektů, do hodnocení postoupilo 91 návrhů projektů</w:t>
            </w:r>
            <w:r w:rsidR="0096646F">
              <w:rPr>
                <w:rFonts w:asciiTheme="minorHAnsi" w:hAnsiTheme="minorHAnsi"/>
                <w:sz w:val="22"/>
                <w:szCs w:val="22"/>
              </w:rPr>
              <w:t xml:space="preserve"> a</w:t>
            </w:r>
            <w:r w:rsidR="0096646F" w:rsidRPr="005530D2">
              <w:rPr>
                <w:rFonts w:asciiTheme="minorHAnsi" w:hAnsiTheme="minorHAnsi"/>
                <w:sz w:val="22"/>
                <w:szCs w:val="22"/>
              </w:rPr>
              <w:t xml:space="preserve"> z nich bude podpořeno celkem 56</w:t>
            </w:r>
            <w:r w:rsidR="0096646F">
              <w:rPr>
                <w:rFonts w:asciiTheme="minorHAnsi" w:hAnsiTheme="minorHAnsi"/>
                <w:sz w:val="22"/>
                <w:szCs w:val="22"/>
              </w:rPr>
              <w:t xml:space="preserve"> projektů</w:t>
            </w:r>
            <w:r w:rsidR="0096646F" w:rsidRPr="005530D2">
              <w:rPr>
                <w:rFonts w:asciiTheme="minorHAnsi" w:hAnsiTheme="minorHAnsi"/>
                <w:sz w:val="22"/>
                <w:szCs w:val="22"/>
              </w:rPr>
              <w:t xml:space="preserve">, což znamená </w:t>
            </w:r>
            <w:r w:rsidR="0096646F">
              <w:rPr>
                <w:rFonts w:asciiTheme="minorHAnsi" w:hAnsiTheme="minorHAnsi"/>
                <w:sz w:val="22"/>
                <w:szCs w:val="22"/>
              </w:rPr>
              <w:t xml:space="preserve">asi </w:t>
            </w:r>
            <w:r w:rsidR="0096646F" w:rsidRPr="005530D2">
              <w:rPr>
                <w:rFonts w:asciiTheme="minorHAnsi" w:hAnsiTheme="minorHAnsi"/>
                <w:sz w:val="22"/>
                <w:szCs w:val="22"/>
              </w:rPr>
              <w:t>5</w:t>
            </w:r>
            <w:r w:rsidR="0096646F">
              <w:rPr>
                <w:rFonts w:asciiTheme="minorHAnsi" w:hAnsiTheme="minorHAnsi"/>
                <w:sz w:val="22"/>
                <w:szCs w:val="22"/>
              </w:rPr>
              <w:t>5</w:t>
            </w:r>
            <w:r w:rsidR="0096646F" w:rsidRPr="005530D2">
              <w:rPr>
                <w:rFonts w:asciiTheme="minorHAnsi" w:hAnsiTheme="minorHAnsi"/>
                <w:sz w:val="22"/>
                <w:szCs w:val="22"/>
              </w:rPr>
              <w:t>% míru úspěšnosti.</w:t>
            </w:r>
            <w:r w:rsidR="0096646F">
              <w:rPr>
                <w:rFonts w:asciiTheme="minorHAnsi" w:hAnsiTheme="minorHAnsi"/>
                <w:sz w:val="22"/>
                <w:szCs w:val="22"/>
              </w:rPr>
              <w:t xml:space="preserve"> Seznam všech návrhů projektů s informací, zda byly, nebo nebyly doporučeny k podpoře, je dostupný na internetových stránkách TA ČR.</w:t>
            </w:r>
            <w:r>
              <w:rPr>
                <w:rFonts w:asciiTheme="minorHAnsi" w:hAnsiTheme="minorHAnsi"/>
                <w:sz w:val="22"/>
                <w:szCs w:val="22"/>
              </w:rPr>
              <w:t xml:space="preserve"> </w:t>
            </w:r>
            <w:r w:rsidR="0096646F">
              <w:rPr>
                <w:rFonts w:asciiTheme="minorHAnsi" w:hAnsiTheme="minorHAnsi"/>
                <w:sz w:val="22"/>
                <w:szCs w:val="22"/>
              </w:rPr>
              <w:t>D</w:t>
            </w:r>
            <w:r>
              <w:rPr>
                <w:rFonts w:asciiTheme="minorHAnsi" w:hAnsiTheme="minorHAnsi"/>
                <w:sz w:val="22"/>
                <w:szCs w:val="22"/>
              </w:rPr>
              <w:t>ále</w:t>
            </w:r>
            <w:r w:rsidRPr="008F01FC">
              <w:rPr>
                <w:rFonts w:asciiTheme="minorHAnsi" w:hAnsiTheme="minorHAnsi"/>
                <w:sz w:val="22"/>
                <w:szCs w:val="22"/>
              </w:rPr>
              <w:t xml:space="preserve"> se předpokládá vyhlášení veřejné soutěže každoročně v letech 2018 až 2023</w:t>
            </w:r>
            <w:r w:rsidR="007A2F31">
              <w:rPr>
                <w:rFonts w:asciiTheme="minorHAnsi" w:hAnsiTheme="minorHAnsi"/>
                <w:sz w:val="22"/>
                <w:szCs w:val="22"/>
              </w:rPr>
              <w:t>, což umožní pravidelně promítnout do jejich podmínek aktuální potřeby vyplývající ze Státní energetické koncepce ČR</w:t>
            </w:r>
            <w:r w:rsidRPr="008F01FC">
              <w:rPr>
                <w:rFonts w:asciiTheme="minorHAnsi" w:hAnsiTheme="minorHAnsi"/>
                <w:sz w:val="22"/>
                <w:szCs w:val="22"/>
              </w:rPr>
              <w:t>. Maximální délka řešení projektů je stanovena na 8 let.</w:t>
            </w:r>
            <w:r>
              <w:rPr>
                <w:rFonts w:asciiTheme="minorHAnsi" w:hAnsiTheme="minorHAnsi"/>
                <w:sz w:val="22"/>
                <w:szCs w:val="22"/>
              </w:rPr>
              <w:t xml:space="preserve"> </w:t>
            </w:r>
            <w:r w:rsidRPr="00B71D4F">
              <w:rPr>
                <w:rFonts w:asciiTheme="minorHAnsi" w:hAnsiTheme="minorHAnsi"/>
                <w:sz w:val="22"/>
                <w:szCs w:val="22"/>
              </w:rPr>
              <w:t xml:space="preserve">Celkové výdaje státního rozpočtu na </w:t>
            </w:r>
            <w:r w:rsidR="00D90346">
              <w:rPr>
                <w:rFonts w:asciiTheme="minorHAnsi" w:hAnsiTheme="minorHAnsi"/>
                <w:sz w:val="22"/>
                <w:szCs w:val="22"/>
              </w:rPr>
              <w:t xml:space="preserve">tento </w:t>
            </w:r>
            <w:r w:rsidRPr="00B71D4F">
              <w:rPr>
                <w:rFonts w:asciiTheme="minorHAnsi" w:hAnsiTheme="minorHAnsi"/>
                <w:sz w:val="22"/>
                <w:szCs w:val="22"/>
              </w:rPr>
              <w:t>program jsou ve výši 4</w:t>
            </w:r>
            <w:r>
              <w:rPr>
                <w:rFonts w:asciiTheme="minorHAnsi" w:hAnsiTheme="minorHAnsi"/>
                <w:sz w:val="22"/>
                <w:szCs w:val="22"/>
              </w:rPr>
              <w:t xml:space="preserve"> mld. Kč a měly by činit v průměru 500 mil. Kč za rok</w:t>
            </w:r>
            <w:r w:rsidRPr="00B71D4F">
              <w:rPr>
                <w:rFonts w:asciiTheme="minorHAnsi" w:hAnsiTheme="minorHAnsi"/>
                <w:sz w:val="22"/>
                <w:szCs w:val="22"/>
              </w:rPr>
              <w:t>. Předpokládaná průměrná míra podpory celkově za program je 70 %. Nejvyšší povolená míra podpory na projekt u podprogramu 1 a</w:t>
            </w:r>
            <w:r>
              <w:rPr>
                <w:rFonts w:asciiTheme="minorHAnsi" w:hAnsiTheme="minorHAnsi"/>
                <w:sz w:val="22"/>
                <w:szCs w:val="22"/>
              </w:rPr>
              <w:t> </w:t>
            </w:r>
            <w:r w:rsidRPr="00B71D4F">
              <w:rPr>
                <w:rFonts w:asciiTheme="minorHAnsi" w:hAnsiTheme="minorHAnsi"/>
                <w:sz w:val="22"/>
                <w:szCs w:val="22"/>
              </w:rPr>
              <w:t>podprogramu 3 je</w:t>
            </w:r>
            <w:r w:rsidR="007A2F31">
              <w:rPr>
                <w:rFonts w:asciiTheme="minorHAnsi" w:hAnsiTheme="minorHAnsi"/>
                <w:sz w:val="22"/>
                <w:szCs w:val="22"/>
              </w:rPr>
              <w:t xml:space="preserve"> stanovena na</w:t>
            </w:r>
            <w:r w:rsidRPr="00B71D4F">
              <w:rPr>
                <w:rFonts w:asciiTheme="minorHAnsi" w:hAnsiTheme="minorHAnsi"/>
                <w:sz w:val="22"/>
                <w:szCs w:val="22"/>
              </w:rPr>
              <w:t xml:space="preserve"> 100 %, u podprogramu 2 p</w:t>
            </w:r>
            <w:r>
              <w:rPr>
                <w:rFonts w:asciiTheme="minorHAnsi" w:hAnsiTheme="minorHAnsi"/>
                <w:sz w:val="22"/>
                <w:szCs w:val="22"/>
              </w:rPr>
              <w:t>otom</w:t>
            </w:r>
            <w:r w:rsidR="007A2F31">
              <w:rPr>
                <w:rFonts w:asciiTheme="minorHAnsi" w:hAnsiTheme="minorHAnsi"/>
                <w:sz w:val="22"/>
                <w:szCs w:val="22"/>
              </w:rPr>
              <w:t xml:space="preserve"> na</w:t>
            </w:r>
            <w:r w:rsidRPr="00B71D4F">
              <w:rPr>
                <w:rFonts w:asciiTheme="minorHAnsi" w:hAnsiTheme="minorHAnsi"/>
                <w:sz w:val="22"/>
                <w:szCs w:val="22"/>
              </w:rPr>
              <w:t xml:space="preserve"> 80 %.</w:t>
            </w:r>
          </w:p>
        </w:tc>
      </w:tr>
    </w:tbl>
    <w:p w14:paraId="75778484" w14:textId="77777777" w:rsidR="00D732E0" w:rsidRDefault="00D732E0" w:rsidP="006E05C2">
      <w:pPr>
        <w:pStyle w:val="Nadpis2"/>
      </w:pPr>
      <w:bookmarkStart w:id="27" w:name="_Toc498509203"/>
      <w:r>
        <w:t>Nástroje v oblasti výkonu vlastnických práv státu k energetickým společnostem s majetkovou účastí České republiky</w:t>
      </w:r>
      <w:bookmarkEnd w:id="27"/>
    </w:p>
    <w:p w14:paraId="766B313A" w14:textId="03E6C7CC" w:rsidR="00EF1B78" w:rsidRPr="00EF1B78" w:rsidRDefault="00EF1B78" w:rsidP="00EF1B78">
      <w:pPr>
        <w:spacing w:after="240"/>
        <w:jc w:val="both"/>
        <w:rPr>
          <w:rFonts w:asciiTheme="minorHAnsi" w:hAnsiTheme="minorHAnsi"/>
          <w:sz w:val="22"/>
          <w:szCs w:val="22"/>
        </w:rPr>
      </w:pPr>
      <w:r w:rsidRPr="000B6057">
        <w:rPr>
          <w:rFonts w:asciiTheme="minorHAnsi" w:hAnsiTheme="minorHAnsi"/>
          <w:sz w:val="22"/>
          <w:szCs w:val="22"/>
        </w:rPr>
        <w:t>V oblasti výkonu vlastnických práv státu k energetickým společnostem jsou všechny úkoly splněny a</w:t>
      </w:r>
      <w:r w:rsidR="002F1E7C" w:rsidRPr="000B6057">
        <w:rPr>
          <w:rFonts w:asciiTheme="minorHAnsi" w:hAnsiTheme="minorHAnsi"/>
          <w:sz w:val="22"/>
          <w:szCs w:val="22"/>
        </w:rPr>
        <w:t> </w:t>
      </w:r>
      <w:r w:rsidRPr="000B6057">
        <w:rPr>
          <w:rFonts w:asciiTheme="minorHAnsi" w:hAnsiTheme="minorHAnsi"/>
          <w:sz w:val="22"/>
          <w:szCs w:val="22"/>
        </w:rPr>
        <w:t>jejich plnění je zajištěno i pro následující období.</w:t>
      </w:r>
    </w:p>
    <w:tbl>
      <w:tblPr>
        <w:tblStyle w:val="Mkatabulky"/>
        <w:tblW w:w="4959" w:type="pct"/>
        <w:tblLook w:val="04A0" w:firstRow="1" w:lastRow="0" w:firstColumn="1" w:lastColumn="0" w:noHBand="0" w:noVBand="1"/>
      </w:tblPr>
      <w:tblGrid>
        <w:gridCol w:w="1535"/>
        <w:gridCol w:w="7677"/>
      </w:tblGrid>
      <w:tr w:rsidR="000816BE" w:rsidRPr="006B443D" w14:paraId="6E174893" w14:textId="77777777" w:rsidTr="002E4D72">
        <w:tc>
          <w:tcPr>
            <w:tcW w:w="833" w:type="pct"/>
            <w:shd w:val="clear" w:color="auto" w:fill="DBE5F1" w:themeFill="accent1" w:themeFillTint="33"/>
            <w:vAlign w:val="center"/>
          </w:tcPr>
          <w:p w14:paraId="0523BC29" w14:textId="77777777" w:rsidR="000816BE" w:rsidRPr="006B443D" w:rsidRDefault="000816BE" w:rsidP="00B2337B">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46F63335" w14:textId="77777777" w:rsidR="000816BE" w:rsidRPr="006B443D" w:rsidRDefault="006710DA" w:rsidP="00B2337B">
            <w:pPr>
              <w:keepNext/>
              <w:spacing w:before="120" w:after="120"/>
              <w:jc w:val="both"/>
              <w:rPr>
                <w:rFonts w:asciiTheme="minorHAnsi" w:hAnsiTheme="minorHAnsi"/>
                <w:b/>
                <w:sz w:val="22"/>
                <w:szCs w:val="22"/>
              </w:rPr>
            </w:pPr>
            <w:r w:rsidRPr="006710DA">
              <w:rPr>
                <w:rFonts w:asciiTheme="minorHAnsi" w:hAnsiTheme="minorHAnsi"/>
                <w:b/>
                <w:sz w:val="22"/>
                <w:szCs w:val="22"/>
              </w:rPr>
              <w:t>Zajistit posílení pozice státu v energetických společnostech s významným vlivem státu</w:t>
            </w:r>
          </w:p>
        </w:tc>
      </w:tr>
      <w:tr w:rsidR="000816BE" w:rsidRPr="006B443D" w14:paraId="27EC5460" w14:textId="77777777" w:rsidTr="002E4D72">
        <w:tc>
          <w:tcPr>
            <w:tcW w:w="833" w:type="pct"/>
            <w:vAlign w:val="center"/>
          </w:tcPr>
          <w:p w14:paraId="0E4824D1"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00B931AF" w14:textId="77777777" w:rsidR="006710DA" w:rsidRPr="006710DA" w:rsidRDefault="006710DA" w:rsidP="006710DA">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6710DA">
              <w:rPr>
                <w:rFonts w:asciiTheme="minorHAnsi" w:hAnsiTheme="minorHAnsi"/>
                <w:sz w:val="22"/>
                <w:szCs w:val="22"/>
              </w:rPr>
              <w:t>Soustředit se na přípravu valných hromad a konkrétní zadání vlastníka na VH směřující k naplnění strategických zájmů státu vyjádřených v SEK a Surovinové politice.</w:t>
            </w:r>
          </w:p>
          <w:p w14:paraId="5BB3AC30" w14:textId="77777777" w:rsidR="006710DA" w:rsidRPr="006710DA" w:rsidRDefault="006710DA" w:rsidP="006710DA">
            <w:pPr>
              <w:pStyle w:val="Odstavecseseznamem"/>
              <w:numPr>
                <w:ilvl w:val="0"/>
                <w:numId w:val="11"/>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6710DA">
              <w:rPr>
                <w:rFonts w:asciiTheme="minorHAnsi" w:hAnsiTheme="minorHAnsi"/>
                <w:sz w:val="22"/>
                <w:szCs w:val="22"/>
              </w:rPr>
              <w:t>Posílit kontrolní úlohu dozorčích rad nad realizací zadání VH.</w:t>
            </w:r>
          </w:p>
          <w:p w14:paraId="16E18E53" w14:textId="77777777" w:rsidR="006710DA" w:rsidRPr="006710DA" w:rsidRDefault="006710DA" w:rsidP="006710DA">
            <w:pPr>
              <w:pStyle w:val="Odstavecseseznamem"/>
              <w:numPr>
                <w:ilvl w:val="0"/>
                <w:numId w:val="11"/>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6710DA">
              <w:rPr>
                <w:rFonts w:asciiTheme="minorHAnsi" w:hAnsiTheme="minorHAnsi"/>
                <w:sz w:val="22"/>
                <w:szCs w:val="22"/>
              </w:rPr>
              <w:t>Zajistit obsazování dozorčích rad osobami s odbornými předpoklady pro řádný výkon této funkce.</w:t>
            </w:r>
          </w:p>
          <w:p w14:paraId="661DBFC5" w14:textId="4E4B1247" w:rsidR="006710DA" w:rsidRPr="006710DA" w:rsidRDefault="006710DA" w:rsidP="006710DA">
            <w:pPr>
              <w:pStyle w:val="Odstavecseseznamem"/>
              <w:numPr>
                <w:ilvl w:val="0"/>
                <w:numId w:val="11"/>
              </w:numPr>
              <w:overflowPunct w:val="0"/>
              <w:autoSpaceDE w:val="0"/>
              <w:autoSpaceDN w:val="0"/>
              <w:adjustRightInd w:val="0"/>
              <w:spacing w:before="120" w:after="120"/>
              <w:ind w:left="568" w:hanging="284"/>
              <w:jc w:val="both"/>
              <w:textAlignment w:val="baseline"/>
              <w:rPr>
                <w:rFonts w:asciiTheme="minorHAnsi" w:hAnsiTheme="minorHAnsi"/>
                <w:sz w:val="22"/>
                <w:szCs w:val="22"/>
              </w:rPr>
            </w:pPr>
            <w:r w:rsidRPr="006710DA">
              <w:rPr>
                <w:rFonts w:asciiTheme="minorHAnsi" w:hAnsiTheme="minorHAnsi"/>
                <w:sz w:val="22"/>
                <w:szCs w:val="22"/>
              </w:rPr>
              <w:t>Zajistit změnu stanov tak, aby zajišťovala ve všech společnostech s</w:t>
            </w:r>
            <w:r w:rsidR="002F1E7C">
              <w:rPr>
                <w:rFonts w:asciiTheme="minorHAnsi" w:hAnsiTheme="minorHAnsi"/>
                <w:sz w:val="22"/>
                <w:szCs w:val="22"/>
              </w:rPr>
              <w:t> </w:t>
            </w:r>
            <w:r w:rsidRPr="006710DA">
              <w:rPr>
                <w:rFonts w:asciiTheme="minorHAnsi" w:hAnsiTheme="minorHAnsi"/>
                <w:sz w:val="22"/>
                <w:szCs w:val="22"/>
              </w:rPr>
              <w:t>nadpoloviční účastí státu:</w:t>
            </w:r>
          </w:p>
          <w:p w14:paraId="1E52DC8F" w14:textId="77777777" w:rsidR="006710DA" w:rsidRPr="006710DA" w:rsidRDefault="006710DA" w:rsidP="006710DA">
            <w:pPr>
              <w:pStyle w:val="Odstavecseseznamem"/>
              <w:numPr>
                <w:ilvl w:val="0"/>
                <w:numId w:val="12"/>
              </w:numPr>
              <w:overflowPunct w:val="0"/>
              <w:autoSpaceDE w:val="0"/>
              <w:autoSpaceDN w:val="0"/>
              <w:adjustRightInd w:val="0"/>
              <w:spacing w:before="120" w:after="120"/>
              <w:ind w:left="851" w:hanging="284"/>
              <w:jc w:val="both"/>
              <w:textAlignment w:val="baseline"/>
              <w:rPr>
                <w:rFonts w:asciiTheme="minorHAnsi" w:hAnsiTheme="minorHAnsi"/>
                <w:sz w:val="22"/>
                <w:szCs w:val="22"/>
              </w:rPr>
            </w:pPr>
            <w:r w:rsidRPr="006710DA">
              <w:rPr>
                <w:rFonts w:asciiTheme="minorHAnsi" w:hAnsiTheme="minorHAnsi"/>
                <w:sz w:val="22"/>
                <w:szCs w:val="22"/>
              </w:rPr>
              <w:t>Schvalování strategie společnosti DR a zajištění souladu se SEK.</w:t>
            </w:r>
          </w:p>
          <w:p w14:paraId="6BE41451" w14:textId="77777777" w:rsidR="000816BE" w:rsidRPr="006710DA" w:rsidRDefault="006710DA" w:rsidP="006710DA">
            <w:pPr>
              <w:pStyle w:val="Odstavecseseznamem"/>
              <w:numPr>
                <w:ilvl w:val="0"/>
                <w:numId w:val="12"/>
              </w:numPr>
              <w:overflowPunct w:val="0"/>
              <w:autoSpaceDE w:val="0"/>
              <w:autoSpaceDN w:val="0"/>
              <w:adjustRightInd w:val="0"/>
              <w:spacing w:before="120" w:after="120"/>
              <w:ind w:left="851" w:hanging="284"/>
              <w:jc w:val="both"/>
              <w:textAlignment w:val="baseline"/>
              <w:rPr>
                <w:rFonts w:asciiTheme="minorHAnsi" w:hAnsiTheme="minorHAnsi"/>
                <w:sz w:val="22"/>
                <w:szCs w:val="22"/>
              </w:rPr>
            </w:pPr>
            <w:r w:rsidRPr="006710DA">
              <w:rPr>
                <w:rFonts w:asciiTheme="minorHAnsi" w:hAnsiTheme="minorHAnsi"/>
                <w:sz w:val="22"/>
                <w:szCs w:val="22"/>
              </w:rPr>
              <w:t>Schvalování významných investičních rozhodnutí a zajištění jejich souladu se schválenou strategií společnosti, se SEK, surovinovou politikou, Bezpečnostní strategií ČR a případnými dalšími koncepčními dokumenty.</w:t>
            </w:r>
          </w:p>
        </w:tc>
      </w:tr>
      <w:tr w:rsidR="000816BE" w:rsidRPr="006B443D" w14:paraId="5164596A" w14:textId="77777777" w:rsidTr="002E4D72">
        <w:tc>
          <w:tcPr>
            <w:tcW w:w="833" w:type="pct"/>
            <w:vAlign w:val="center"/>
          </w:tcPr>
          <w:p w14:paraId="306D9E8C"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lastRenderedPageBreak/>
              <w:t>Gesce</w:t>
            </w:r>
          </w:p>
        </w:tc>
        <w:tc>
          <w:tcPr>
            <w:tcW w:w="4167" w:type="pct"/>
            <w:vAlign w:val="center"/>
          </w:tcPr>
          <w:p w14:paraId="7868391F" w14:textId="77777777" w:rsidR="000816BE" w:rsidRPr="006B443D" w:rsidRDefault="006710DA" w:rsidP="002E4D72">
            <w:pPr>
              <w:spacing w:before="120" w:after="120"/>
              <w:jc w:val="both"/>
              <w:rPr>
                <w:rFonts w:asciiTheme="minorHAnsi" w:hAnsiTheme="minorHAnsi"/>
                <w:sz w:val="22"/>
                <w:szCs w:val="22"/>
              </w:rPr>
            </w:pPr>
            <w:r>
              <w:rPr>
                <w:rFonts w:asciiTheme="minorHAnsi" w:hAnsiTheme="minorHAnsi"/>
                <w:sz w:val="22"/>
                <w:szCs w:val="22"/>
              </w:rPr>
              <w:t>MPO, MF</w:t>
            </w:r>
          </w:p>
        </w:tc>
      </w:tr>
      <w:tr w:rsidR="000816BE" w:rsidRPr="006B443D" w14:paraId="37FEFEFA" w14:textId="77777777" w:rsidTr="002E4D72">
        <w:tc>
          <w:tcPr>
            <w:tcW w:w="833" w:type="pct"/>
            <w:vAlign w:val="center"/>
          </w:tcPr>
          <w:p w14:paraId="11C71ACA"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1E5B84B6" w14:textId="77777777" w:rsidR="000816BE" w:rsidRPr="006B443D" w:rsidRDefault="006710DA" w:rsidP="002E4D72">
            <w:pPr>
              <w:spacing w:before="120" w:after="120"/>
              <w:jc w:val="both"/>
              <w:rPr>
                <w:rFonts w:asciiTheme="minorHAnsi" w:hAnsiTheme="minorHAnsi"/>
                <w:sz w:val="22"/>
                <w:szCs w:val="22"/>
              </w:rPr>
            </w:pPr>
            <w:r w:rsidRPr="006710DA">
              <w:rPr>
                <w:rFonts w:asciiTheme="minorHAnsi" w:hAnsiTheme="minorHAnsi"/>
                <w:sz w:val="22"/>
                <w:szCs w:val="22"/>
              </w:rPr>
              <w:t>do 31. 12. 2015</w:t>
            </w:r>
          </w:p>
        </w:tc>
      </w:tr>
      <w:tr w:rsidR="00CF4DA2" w:rsidRPr="00CF4DA2" w14:paraId="1CD62D05" w14:textId="77777777" w:rsidTr="002E4D72">
        <w:tc>
          <w:tcPr>
            <w:tcW w:w="833" w:type="pct"/>
            <w:vAlign w:val="center"/>
          </w:tcPr>
          <w:p w14:paraId="4C8893E3" w14:textId="77777777" w:rsidR="000816BE" w:rsidRPr="00CF4DA2" w:rsidRDefault="000816BE" w:rsidP="002E4D72">
            <w:pPr>
              <w:jc w:val="center"/>
              <w:rPr>
                <w:rFonts w:asciiTheme="minorHAnsi" w:hAnsiTheme="minorHAnsi"/>
                <w:b/>
                <w:sz w:val="22"/>
                <w:szCs w:val="22"/>
              </w:rPr>
            </w:pPr>
            <w:r w:rsidRPr="00CF4DA2">
              <w:rPr>
                <w:rFonts w:asciiTheme="minorHAnsi" w:hAnsiTheme="minorHAnsi"/>
                <w:b/>
                <w:sz w:val="22"/>
                <w:szCs w:val="22"/>
              </w:rPr>
              <w:t>Popis plnění</w:t>
            </w:r>
          </w:p>
        </w:tc>
        <w:tc>
          <w:tcPr>
            <w:tcW w:w="4167" w:type="pct"/>
            <w:vAlign w:val="center"/>
          </w:tcPr>
          <w:p w14:paraId="2E9E47DA" w14:textId="389A38FE" w:rsidR="006710DA" w:rsidRPr="00CF4DA2" w:rsidRDefault="00E04A6D" w:rsidP="006710DA">
            <w:pPr>
              <w:overflowPunct w:val="0"/>
              <w:autoSpaceDE w:val="0"/>
              <w:autoSpaceDN w:val="0"/>
              <w:adjustRightInd w:val="0"/>
              <w:spacing w:before="120" w:after="120"/>
              <w:jc w:val="both"/>
              <w:textAlignment w:val="baseline"/>
              <w:rPr>
                <w:rFonts w:asciiTheme="minorHAnsi" w:hAnsiTheme="minorHAnsi"/>
                <w:b/>
                <w:sz w:val="22"/>
                <w:szCs w:val="22"/>
              </w:rPr>
            </w:pPr>
            <w:r w:rsidRPr="00CF4DA2">
              <w:rPr>
                <w:rFonts w:asciiTheme="minorHAnsi" w:hAnsiTheme="minorHAnsi"/>
                <w:b/>
                <w:sz w:val="22"/>
                <w:szCs w:val="22"/>
              </w:rPr>
              <w:t>Splněno</w:t>
            </w:r>
            <w:r w:rsidR="00CF4DA2">
              <w:rPr>
                <w:rFonts w:asciiTheme="minorHAnsi" w:hAnsiTheme="minorHAnsi"/>
                <w:b/>
                <w:sz w:val="22"/>
                <w:szCs w:val="22"/>
              </w:rPr>
              <w:t xml:space="preserve"> + plněno průběžně</w:t>
            </w:r>
          </w:p>
          <w:p w14:paraId="09374E9D" w14:textId="77777777" w:rsidR="006710DA" w:rsidRPr="00CF4DA2" w:rsidRDefault="006710DA" w:rsidP="006710DA">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CF4DA2">
              <w:rPr>
                <w:rFonts w:asciiTheme="minorHAnsi" w:hAnsiTheme="minorHAnsi"/>
                <w:sz w:val="22"/>
                <w:szCs w:val="22"/>
              </w:rPr>
              <w:t>Z hlediska působnosti MPO, které vykonává právo hospodařit s majetkovou účastí státu v akciových společnostech ČEPS, a.s., a OTE, a.s., jsou všechny body, včetně zajišťování účasti zástupců státu v orgánech energetických společností, plněny průběžně. Byla posílena účast zástupců MPO v dozorčích radách obou společností a stanovy jsou pravidelně aktualizovány v návaznosti na legislativní změny a zajišťují soulad strategie společností a jejich rozhodnutí s koncepčními dokumenty státu.</w:t>
            </w:r>
          </w:p>
          <w:p w14:paraId="29CF9D66" w14:textId="176446E0" w:rsidR="000816BE" w:rsidRPr="00CF4DA2" w:rsidRDefault="00CF4DA2" w:rsidP="002F1E7C">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CF4DA2">
              <w:rPr>
                <w:rFonts w:asciiTheme="minorHAnsi" w:hAnsiTheme="minorHAnsi"/>
                <w:sz w:val="22"/>
                <w:szCs w:val="22"/>
              </w:rPr>
              <w:t>Z hlediska působnosti MF, které vykonává akcionářská práva ve společnostech ČEZ, a.s., MERO ČR, a.s., a ČEPRO, a.s., jsou všechny body úkolu plněny průběžně. Ve společnosti ČEZ, a.s., je zajištěna nadpoloviční většina zástupců státu v dozorčí radě i ve výboru pro audit. V kompetencích dozorčí rady je mimo jiné i rozhodovací proces v odborné oblasti strategického rozvoje společnosti včetně posuzování návrhů významných podnikatelských aktivit, které jsou v</w:t>
            </w:r>
            <w:r w:rsidR="002F1E7C">
              <w:rPr>
                <w:rFonts w:asciiTheme="minorHAnsi" w:hAnsiTheme="minorHAnsi"/>
                <w:sz w:val="22"/>
                <w:szCs w:val="22"/>
              </w:rPr>
              <w:t> </w:t>
            </w:r>
            <w:r w:rsidRPr="00CF4DA2">
              <w:rPr>
                <w:rFonts w:asciiTheme="minorHAnsi" w:hAnsiTheme="minorHAnsi"/>
                <w:sz w:val="22"/>
                <w:szCs w:val="22"/>
              </w:rPr>
              <w:t>souladu se schválenou strategií společnosti ve vazbě na SEK, surovinovou politiku a bezpečnostní strategii ČR. Strategickým rozvojem společnosti se zabývá i Výbor pro strategii, který byl za tímto účelem zřízen dozorčí radou. Obdobně jsou plněny předmětné úkoly také ve společnostech MERO ČR, a.s., a</w:t>
            </w:r>
            <w:r w:rsidR="002F1E7C">
              <w:rPr>
                <w:rFonts w:asciiTheme="minorHAnsi" w:hAnsiTheme="minorHAnsi"/>
                <w:sz w:val="22"/>
                <w:szCs w:val="22"/>
              </w:rPr>
              <w:t> </w:t>
            </w:r>
            <w:r w:rsidRPr="00CF4DA2">
              <w:rPr>
                <w:rFonts w:asciiTheme="minorHAnsi" w:hAnsiTheme="minorHAnsi"/>
                <w:sz w:val="22"/>
                <w:szCs w:val="22"/>
              </w:rPr>
              <w:t>ČEPRO, a.s., kde je v dozorčích radách rovněž zajištěna nadpoloviční většina zástupců státu s odbornými předpoklady pro řádný výkon této funkce s cílem zajistit strategický rozvoj těchto společností v souladu se SEK. Navíc, koncem roku 2015 byly v obou společnostech nově zřízeny výbory pro audit, které jsou obsazeny rovněž zástupci státu, a které zejména sledují a hodnotí používaná účetní řešení a auditorské postupy v souladu s právními předpisy.</w:t>
            </w:r>
          </w:p>
        </w:tc>
      </w:tr>
    </w:tbl>
    <w:p w14:paraId="5F89DFEC" w14:textId="77777777" w:rsidR="00D732E0" w:rsidRPr="000B6057" w:rsidRDefault="00D732E0" w:rsidP="006E05C2">
      <w:pPr>
        <w:pStyle w:val="Nadpis2"/>
      </w:pPr>
      <w:bookmarkStart w:id="28" w:name="_Toc498509204"/>
      <w:r w:rsidRPr="000B6057">
        <w:t xml:space="preserve">Nástroje v oblasti </w:t>
      </w:r>
      <w:r w:rsidR="000816BE" w:rsidRPr="000B6057">
        <w:t>komunikace a medializace</w:t>
      </w:r>
      <w:bookmarkEnd w:id="28"/>
    </w:p>
    <w:p w14:paraId="364C43A1" w14:textId="31AA2B77" w:rsidR="009A7E86" w:rsidRPr="009A7E86" w:rsidRDefault="00EF1B78" w:rsidP="009A7E86">
      <w:pPr>
        <w:spacing w:after="240"/>
        <w:jc w:val="both"/>
        <w:rPr>
          <w:rFonts w:asciiTheme="minorHAnsi" w:hAnsiTheme="minorHAnsi"/>
          <w:sz w:val="22"/>
          <w:szCs w:val="22"/>
        </w:rPr>
      </w:pPr>
      <w:r w:rsidRPr="000B6057">
        <w:rPr>
          <w:rFonts w:asciiTheme="minorHAnsi" w:hAnsiTheme="minorHAnsi"/>
          <w:sz w:val="22"/>
          <w:szCs w:val="22"/>
        </w:rPr>
        <w:t xml:space="preserve">V oblasti komunikace a medializace byly splněny úkoly související se zveřejněním všech analytických materiálů ke </w:t>
      </w:r>
      <w:r w:rsidRPr="00BE3A64">
        <w:rPr>
          <w:rFonts w:asciiTheme="minorHAnsi" w:hAnsiTheme="minorHAnsi"/>
          <w:sz w:val="22"/>
          <w:szCs w:val="22"/>
        </w:rPr>
        <w:t>Státní energetické koncepci ČR, komunikací témat energetické strategie a s působností vysokých škol. Předmětem řešení tak v podstatě zůstává pouze problematika zařazení informace o energetice a energetické strategii do rámcových vzdělávacích programů středních škol.</w:t>
      </w:r>
    </w:p>
    <w:tbl>
      <w:tblPr>
        <w:tblStyle w:val="Mkatabulky"/>
        <w:tblW w:w="4959" w:type="pct"/>
        <w:tblLook w:val="04A0" w:firstRow="1" w:lastRow="0" w:firstColumn="1" w:lastColumn="0" w:noHBand="0" w:noVBand="1"/>
      </w:tblPr>
      <w:tblGrid>
        <w:gridCol w:w="1535"/>
        <w:gridCol w:w="7677"/>
      </w:tblGrid>
      <w:tr w:rsidR="000816BE" w:rsidRPr="006B443D" w14:paraId="2163E631" w14:textId="77777777" w:rsidTr="002E4D72">
        <w:tc>
          <w:tcPr>
            <w:tcW w:w="833" w:type="pct"/>
            <w:shd w:val="clear" w:color="auto" w:fill="DBE5F1" w:themeFill="accent1" w:themeFillTint="33"/>
            <w:vAlign w:val="center"/>
          </w:tcPr>
          <w:p w14:paraId="47604909" w14:textId="77777777" w:rsidR="000816BE" w:rsidRPr="006B443D" w:rsidRDefault="000816BE" w:rsidP="00B2337B">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53DEB21D" w14:textId="7788D1DB" w:rsidR="000816BE" w:rsidRPr="006B443D" w:rsidRDefault="006710DA" w:rsidP="00B2337B">
            <w:pPr>
              <w:keepNext/>
              <w:spacing w:before="120" w:after="120"/>
              <w:jc w:val="both"/>
              <w:rPr>
                <w:rFonts w:asciiTheme="minorHAnsi" w:hAnsiTheme="minorHAnsi"/>
                <w:b/>
                <w:sz w:val="22"/>
                <w:szCs w:val="22"/>
              </w:rPr>
            </w:pPr>
            <w:r w:rsidRPr="006710DA">
              <w:rPr>
                <w:rFonts w:asciiTheme="minorHAnsi" w:hAnsiTheme="minorHAnsi"/>
                <w:b/>
                <w:sz w:val="22"/>
                <w:szCs w:val="22"/>
              </w:rPr>
              <w:t>Zveřejnit Státní energetickou koncepci, analýzu ekonomických jejích dopadů a</w:t>
            </w:r>
            <w:r w:rsidR="002F1E7C">
              <w:rPr>
                <w:rFonts w:asciiTheme="minorHAnsi" w:hAnsiTheme="minorHAnsi"/>
                <w:b/>
                <w:sz w:val="22"/>
                <w:szCs w:val="22"/>
              </w:rPr>
              <w:t> </w:t>
            </w:r>
            <w:r w:rsidRPr="006710DA">
              <w:rPr>
                <w:rFonts w:asciiTheme="minorHAnsi" w:hAnsiTheme="minorHAnsi"/>
                <w:b/>
                <w:sz w:val="22"/>
                <w:szCs w:val="22"/>
              </w:rPr>
              <w:t>možné scénáře vývoje české energetiky po jejím projednání vládou</w:t>
            </w:r>
          </w:p>
        </w:tc>
      </w:tr>
      <w:tr w:rsidR="000816BE" w:rsidRPr="006B443D" w14:paraId="0CD7AE12" w14:textId="77777777" w:rsidTr="002E4D72">
        <w:tc>
          <w:tcPr>
            <w:tcW w:w="833" w:type="pct"/>
            <w:vAlign w:val="center"/>
          </w:tcPr>
          <w:p w14:paraId="1082AF9C"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0097A3EE" w14:textId="14404892" w:rsidR="006710DA" w:rsidRPr="006710DA" w:rsidRDefault="006710DA" w:rsidP="006710DA">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6710DA">
              <w:rPr>
                <w:rFonts w:asciiTheme="minorHAnsi" w:hAnsiTheme="minorHAnsi"/>
                <w:sz w:val="22"/>
                <w:szCs w:val="22"/>
              </w:rPr>
              <w:t>Zpracovat a zveřejnit výkladové dokumenty obsahující podrobný výklad situace v energetice, současných a budoucích podmínek a trendů energetiky ČR a</w:t>
            </w:r>
            <w:r w:rsidR="002F1E7C">
              <w:rPr>
                <w:rFonts w:asciiTheme="minorHAnsi" w:hAnsiTheme="minorHAnsi"/>
                <w:sz w:val="22"/>
                <w:szCs w:val="22"/>
              </w:rPr>
              <w:t> </w:t>
            </w:r>
            <w:r w:rsidRPr="006710DA">
              <w:rPr>
                <w:rFonts w:asciiTheme="minorHAnsi" w:hAnsiTheme="minorHAnsi"/>
                <w:sz w:val="22"/>
                <w:szCs w:val="22"/>
              </w:rPr>
              <w:t>okrajových podmínek tvorby Státní energetické koncepce.</w:t>
            </w:r>
          </w:p>
          <w:p w14:paraId="54789409" w14:textId="77777777" w:rsidR="006710DA" w:rsidRPr="006710DA" w:rsidRDefault="006710DA" w:rsidP="006710DA">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6710DA">
              <w:rPr>
                <w:rFonts w:asciiTheme="minorHAnsi" w:hAnsiTheme="minorHAnsi"/>
                <w:sz w:val="22"/>
                <w:szCs w:val="22"/>
              </w:rPr>
              <w:t>Zpřístupnit na jednom místě dostupné analytické zprávy a dlouhodobé predikce vývoje v energetice, nebo uvést odkazy na příslušné dokumenty.</w:t>
            </w:r>
          </w:p>
          <w:p w14:paraId="30D40E6A" w14:textId="77777777" w:rsidR="006710DA" w:rsidRPr="006710DA" w:rsidRDefault="006710DA" w:rsidP="006710DA">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6710DA">
              <w:rPr>
                <w:rFonts w:asciiTheme="minorHAnsi" w:hAnsiTheme="minorHAnsi"/>
                <w:sz w:val="22"/>
                <w:szCs w:val="22"/>
              </w:rPr>
              <w:t>Doporučit zařazení informace o energetice a energetické strategii do rámcových vzdělávacích programů všech technických středních škol a alespoň v základní podobě do rámcového vzdělávacího programu pro gymnázia.</w:t>
            </w:r>
          </w:p>
          <w:p w14:paraId="5239C216" w14:textId="77777777" w:rsidR="000816BE" w:rsidRPr="006B443D" w:rsidRDefault="006710DA" w:rsidP="006710DA">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6710DA">
              <w:rPr>
                <w:rFonts w:asciiTheme="minorHAnsi" w:hAnsiTheme="minorHAnsi"/>
                <w:sz w:val="22"/>
                <w:szCs w:val="22"/>
              </w:rPr>
              <w:t>Podpořit uspořádání cyklu odborných seminářů pro energetickou odbornou veřejnost zaměřených na prezentaci SEK, jejích jednotlivých oblastí a souvislostí. Uspořádat v rámci seminářů diskuse.</w:t>
            </w:r>
          </w:p>
        </w:tc>
      </w:tr>
      <w:tr w:rsidR="000816BE" w:rsidRPr="006B443D" w14:paraId="36744949" w14:textId="77777777" w:rsidTr="002E4D72">
        <w:tc>
          <w:tcPr>
            <w:tcW w:w="833" w:type="pct"/>
            <w:vAlign w:val="center"/>
          </w:tcPr>
          <w:p w14:paraId="493DA77B"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lastRenderedPageBreak/>
              <w:t>Gesce</w:t>
            </w:r>
          </w:p>
        </w:tc>
        <w:tc>
          <w:tcPr>
            <w:tcW w:w="4167" w:type="pct"/>
            <w:vAlign w:val="center"/>
          </w:tcPr>
          <w:p w14:paraId="5D4EE356" w14:textId="77777777" w:rsidR="000816BE" w:rsidRPr="006B443D" w:rsidRDefault="006710DA" w:rsidP="002E4D72">
            <w:pPr>
              <w:spacing w:before="120" w:after="120"/>
              <w:jc w:val="both"/>
              <w:rPr>
                <w:rFonts w:asciiTheme="minorHAnsi" w:hAnsiTheme="minorHAnsi"/>
                <w:sz w:val="22"/>
                <w:szCs w:val="22"/>
              </w:rPr>
            </w:pPr>
            <w:r w:rsidRPr="006710DA">
              <w:rPr>
                <w:rFonts w:asciiTheme="minorHAnsi" w:hAnsiTheme="minorHAnsi"/>
                <w:sz w:val="22"/>
                <w:szCs w:val="22"/>
              </w:rPr>
              <w:t>MPO, MŠMT</w:t>
            </w:r>
          </w:p>
        </w:tc>
      </w:tr>
      <w:tr w:rsidR="000816BE" w:rsidRPr="006B443D" w14:paraId="3DCE5165" w14:textId="77777777" w:rsidTr="002E4D72">
        <w:tc>
          <w:tcPr>
            <w:tcW w:w="833" w:type="pct"/>
            <w:vAlign w:val="center"/>
          </w:tcPr>
          <w:p w14:paraId="262C56B4"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0E07016C" w14:textId="77777777" w:rsidR="000816BE" w:rsidRPr="006B443D" w:rsidRDefault="006710DA" w:rsidP="002E4D72">
            <w:pPr>
              <w:spacing w:before="120" w:after="120"/>
              <w:jc w:val="both"/>
              <w:rPr>
                <w:rFonts w:asciiTheme="minorHAnsi" w:hAnsiTheme="minorHAnsi"/>
                <w:sz w:val="22"/>
                <w:szCs w:val="22"/>
              </w:rPr>
            </w:pPr>
            <w:r w:rsidRPr="006710DA">
              <w:rPr>
                <w:rFonts w:asciiTheme="minorHAnsi" w:hAnsiTheme="minorHAnsi"/>
                <w:sz w:val="22"/>
                <w:szCs w:val="22"/>
              </w:rPr>
              <w:t>do 31. 12. 2017 (zveřejnění SEK a všech relevantních dokumentů neprodleně po schválení vládou)</w:t>
            </w:r>
          </w:p>
        </w:tc>
      </w:tr>
      <w:tr w:rsidR="000816BE" w:rsidRPr="006B443D" w14:paraId="44F7FB30" w14:textId="77777777" w:rsidTr="002E4D72">
        <w:tc>
          <w:tcPr>
            <w:tcW w:w="833" w:type="pct"/>
            <w:vAlign w:val="center"/>
          </w:tcPr>
          <w:p w14:paraId="2F155C45"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Popis plnění</w:t>
            </w:r>
          </w:p>
        </w:tc>
        <w:tc>
          <w:tcPr>
            <w:tcW w:w="4167" w:type="pct"/>
            <w:vAlign w:val="center"/>
          </w:tcPr>
          <w:p w14:paraId="61818EF8" w14:textId="4158FD88" w:rsidR="006710DA" w:rsidRPr="006710DA" w:rsidRDefault="004F36EF" w:rsidP="006710DA">
            <w:pPr>
              <w:overflowPunct w:val="0"/>
              <w:autoSpaceDE w:val="0"/>
              <w:autoSpaceDN w:val="0"/>
              <w:adjustRightInd w:val="0"/>
              <w:spacing w:before="120" w:after="120"/>
              <w:jc w:val="both"/>
              <w:textAlignment w:val="baseline"/>
              <w:rPr>
                <w:rFonts w:asciiTheme="minorHAnsi" w:hAnsiTheme="minorHAnsi"/>
                <w:b/>
                <w:sz w:val="22"/>
                <w:szCs w:val="22"/>
              </w:rPr>
            </w:pPr>
            <w:r>
              <w:rPr>
                <w:rFonts w:asciiTheme="minorHAnsi" w:hAnsiTheme="minorHAnsi"/>
                <w:b/>
                <w:sz w:val="22"/>
                <w:szCs w:val="22"/>
              </w:rPr>
              <w:t xml:space="preserve">Splněno </w:t>
            </w:r>
            <w:r w:rsidR="006710DA" w:rsidRPr="006710DA">
              <w:rPr>
                <w:rFonts w:asciiTheme="minorHAnsi" w:hAnsiTheme="minorHAnsi"/>
                <w:b/>
                <w:sz w:val="22"/>
                <w:szCs w:val="22"/>
              </w:rPr>
              <w:t>dílčím způsobem</w:t>
            </w:r>
          </w:p>
          <w:p w14:paraId="42569A02" w14:textId="77777777" w:rsidR="006710DA" w:rsidRPr="006710DA" w:rsidRDefault="006710DA" w:rsidP="006710DA">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6710DA">
              <w:rPr>
                <w:rFonts w:asciiTheme="minorHAnsi" w:hAnsiTheme="minorHAnsi"/>
                <w:sz w:val="22"/>
                <w:szCs w:val="22"/>
              </w:rPr>
              <w:t>Státní energetická koncepce byla zveřejněna na stránkách MPO společně se všemi relevantními analytickými dokumenty.</w:t>
            </w:r>
          </w:p>
          <w:p w14:paraId="0F5F175F" w14:textId="6730DC7F" w:rsidR="006710DA" w:rsidRPr="006710DA" w:rsidRDefault="00C26CA6" w:rsidP="00BE3A64">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C26CA6">
              <w:rPr>
                <w:rFonts w:asciiTheme="minorHAnsi" w:hAnsiTheme="minorHAnsi"/>
                <w:sz w:val="22"/>
                <w:szCs w:val="22"/>
              </w:rPr>
              <w:t xml:space="preserve">Zařazení problematiky o energetice a energetické strategii do rámcových vzdělávacích programů všech technických středních škol a alespoň v základní podobě do rámcového vzdělávacího programu pro gymnázia se zapracovává do rámcových vzdělávacích programů v rámci procesu revizí. </w:t>
            </w:r>
            <w:r w:rsidR="00BE3A64">
              <w:rPr>
                <w:rFonts w:asciiTheme="minorHAnsi" w:hAnsiTheme="minorHAnsi"/>
                <w:sz w:val="22"/>
                <w:szCs w:val="22"/>
              </w:rPr>
              <w:t xml:space="preserve">V první polovině roku 2017 byly nejprve zpracovány podrobné analýzy vzdělávacích oblastí rámcových vzdělávacích programů definující témata, která musí být aktualizována ve vazbě na požadavky trhu práce a provázanost s kvalifikacemi v rámci Národní soustavy kvalifikací. Jednotlivé podkladové studie jsou zveřejněny na webových stránkách Národního ústavu pro vzdělávání. </w:t>
            </w:r>
            <w:r w:rsidRPr="00C26CA6">
              <w:rPr>
                <w:rFonts w:asciiTheme="minorHAnsi" w:hAnsiTheme="minorHAnsi"/>
                <w:sz w:val="22"/>
                <w:szCs w:val="22"/>
              </w:rPr>
              <w:t>Obsahová revize</w:t>
            </w:r>
            <w:r w:rsidR="00BE3A64">
              <w:rPr>
                <w:rFonts w:asciiTheme="minorHAnsi" w:hAnsiTheme="minorHAnsi"/>
                <w:sz w:val="22"/>
                <w:szCs w:val="22"/>
              </w:rPr>
              <w:t xml:space="preserve"> odborné složky vzdělávání</w:t>
            </w:r>
            <w:r w:rsidRPr="00C26CA6">
              <w:rPr>
                <w:rFonts w:asciiTheme="minorHAnsi" w:hAnsiTheme="minorHAnsi"/>
                <w:sz w:val="22"/>
                <w:szCs w:val="22"/>
              </w:rPr>
              <w:t xml:space="preserve"> všech </w:t>
            </w:r>
            <w:r w:rsidR="00F51792">
              <w:rPr>
                <w:rFonts w:asciiTheme="minorHAnsi" w:hAnsiTheme="minorHAnsi"/>
                <w:sz w:val="22"/>
                <w:szCs w:val="22"/>
              </w:rPr>
              <w:t>rámcových vzdělávacích programů</w:t>
            </w:r>
            <w:r w:rsidRPr="00C26CA6">
              <w:rPr>
                <w:rFonts w:asciiTheme="minorHAnsi" w:hAnsiTheme="minorHAnsi"/>
                <w:sz w:val="22"/>
                <w:szCs w:val="22"/>
              </w:rPr>
              <w:t xml:space="preserve"> </w:t>
            </w:r>
            <w:r w:rsidR="00BE3A64">
              <w:rPr>
                <w:rFonts w:asciiTheme="minorHAnsi" w:hAnsiTheme="minorHAnsi"/>
                <w:sz w:val="22"/>
                <w:szCs w:val="22"/>
              </w:rPr>
              <w:t>pro střední odborné vzdělávání pak byla zahájena začátkem roku</w:t>
            </w:r>
            <w:r w:rsidRPr="00C26CA6">
              <w:rPr>
                <w:rFonts w:asciiTheme="minorHAnsi" w:hAnsiTheme="minorHAnsi"/>
                <w:sz w:val="22"/>
                <w:szCs w:val="22"/>
              </w:rPr>
              <w:t xml:space="preserve"> 2018.</w:t>
            </w:r>
            <w:r w:rsidR="00BE3A64" w:rsidRPr="00BE3A64">
              <w:rPr>
                <w:rFonts w:asciiTheme="minorHAnsi" w:hAnsiTheme="minorHAnsi"/>
                <w:sz w:val="22"/>
                <w:szCs w:val="22"/>
              </w:rPr>
              <w:t xml:space="preserve"> Do</w:t>
            </w:r>
            <w:r w:rsidR="00BE3A64">
              <w:rPr>
                <w:rFonts w:asciiTheme="minorHAnsi" w:hAnsiTheme="minorHAnsi"/>
                <w:sz w:val="22"/>
                <w:szCs w:val="22"/>
              </w:rPr>
              <w:t xml:space="preserve"> </w:t>
            </w:r>
            <w:r w:rsidR="00BE3A64" w:rsidRPr="00BE3A64">
              <w:rPr>
                <w:rFonts w:asciiTheme="minorHAnsi" w:hAnsiTheme="minorHAnsi"/>
                <w:sz w:val="22"/>
                <w:szCs w:val="22"/>
              </w:rPr>
              <w:t>revizí byly zapojeny zaměstnavatelské svazy, které</w:t>
            </w:r>
            <w:r w:rsidR="00BE3A64">
              <w:rPr>
                <w:rFonts w:asciiTheme="minorHAnsi" w:hAnsiTheme="minorHAnsi"/>
                <w:sz w:val="22"/>
                <w:szCs w:val="22"/>
              </w:rPr>
              <w:t xml:space="preserve"> </w:t>
            </w:r>
            <w:r w:rsidR="00BE3A64" w:rsidRPr="00BE3A64">
              <w:rPr>
                <w:rFonts w:asciiTheme="minorHAnsi" w:hAnsiTheme="minorHAnsi"/>
                <w:sz w:val="22"/>
                <w:szCs w:val="22"/>
              </w:rPr>
              <w:t xml:space="preserve">aktualizované odborné části </w:t>
            </w:r>
            <w:r w:rsidR="003C13A8">
              <w:rPr>
                <w:rFonts w:asciiTheme="minorHAnsi" w:hAnsiTheme="minorHAnsi"/>
                <w:sz w:val="22"/>
                <w:szCs w:val="22"/>
              </w:rPr>
              <w:t xml:space="preserve">následně </w:t>
            </w:r>
            <w:r w:rsidR="00BE3A64" w:rsidRPr="00BE3A64">
              <w:rPr>
                <w:rFonts w:asciiTheme="minorHAnsi" w:hAnsiTheme="minorHAnsi"/>
                <w:sz w:val="22"/>
                <w:szCs w:val="22"/>
              </w:rPr>
              <w:t>obdržely k připomí</w:t>
            </w:r>
            <w:r w:rsidR="00BE3A64">
              <w:rPr>
                <w:rFonts w:asciiTheme="minorHAnsi" w:hAnsiTheme="minorHAnsi"/>
                <w:sz w:val="22"/>
                <w:szCs w:val="22"/>
              </w:rPr>
              <w:t>nkování. Aktualizace odborné slo</w:t>
            </w:r>
            <w:r w:rsidR="00BE3A64" w:rsidRPr="00BE3A64">
              <w:rPr>
                <w:rFonts w:asciiTheme="minorHAnsi" w:hAnsiTheme="minorHAnsi"/>
                <w:sz w:val="22"/>
                <w:szCs w:val="22"/>
              </w:rPr>
              <w:t>žky stř</w:t>
            </w:r>
            <w:r w:rsidR="00BE3A64">
              <w:rPr>
                <w:rFonts w:asciiTheme="minorHAnsi" w:hAnsiTheme="minorHAnsi"/>
                <w:sz w:val="22"/>
                <w:szCs w:val="22"/>
              </w:rPr>
              <w:t>edního odborného vzdělávání b</w:t>
            </w:r>
            <w:r w:rsidR="003C13A8">
              <w:rPr>
                <w:rFonts w:asciiTheme="minorHAnsi" w:hAnsiTheme="minorHAnsi"/>
                <w:sz w:val="22"/>
                <w:szCs w:val="22"/>
              </w:rPr>
              <w:t>ude</w:t>
            </w:r>
            <w:r w:rsidR="00BE3A64">
              <w:rPr>
                <w:rFonts w:asciiTheme="minorHAnsi" w:hAnsiTheme="minorHAnsi"/>
                <w:sz w:val="22"/>
                <w:szCs w:val="22"/>
              </w:rPr>
              <w:t xml:space="preserve"> ukončena na přelomu </w:t>
            </w:r>
            <w:r w:rsidR="003C13A8">
              <w:rPr>
                <w:rFonts w:asciiTheme="minorHAnsi" w:hAnsiTheme="minorHAnsi"/>
                <w:sz w:val="22"/>
                <w:szCs w:val="22"/>
              </w:rPr>
              <w:t>roku</w:t>
            </w:r>
            <w:r w:rsidR="00BE3A64" w:rsidRPr="00BE3A64">
              <w:rPr>
                <w:rFonts w:asciiTheme="minorHAnsi" w:hAnsiTheme="minorHAnsi"/>
                <w:sz w:val="22"/>
                <w:szCs w:val="22"/>
              </w:rPr>
              <w:t xml:space="preserve"> 2018.</w:t>
            </w:r>
          </w:p>
          <w:p w14:paraId="4E10466B" w14:textId="226BA407" w:rsidR="006710DA" w:rsidRPr="006710DA" w:rsidRDefault="006710DA" w:rsidP="006710DA">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6710DA">
              <w:rPr>
                <w:rFonts w:asciiTheme="minorHAnsi" w:hAnsiTheme="minorHAnsi"/>
                <w:sz w:val="22"/>
                <w:szCs w:val="22"/>
              </w:rPr>
              <w:t>Zástupci MPO se dlouhodobě účastní odborných seminářů, kulatých stolů a</w:t>
            </w:r>
            <w:r w:rsidR="001C3542">
              <w:rPr>
                <w:rFonts w:asciiTheme="minorHAnsi" w:hAnsiTheme="minorHAnsi"/>
                <w:sz w:val="22"/>
                <w:szCs w:val="22"/>
              </w:rPr>
              <w:t> </w:t>
            </w:r>
            <w:r w:rsidRPr="006710DA">
              <w:rPr>
                <w:rFonts w:asciiTheme="minorHAnsi" w:hAnsiTheme="minorHAnsi"/>
                <w:sz w:val="22"/>
                <w:szCs w:val="22"/>
              </w:rPr>
              <w:t>konferencí, na nichž jsou</w:t>
            </w:r>
            <w:r w:rsidR="001C3542">
              <w:rPr>
                <w:rFonts w:asciiTheme="minorHAnsi" w:hAnsiTheme="minorHAnsi"/>
                <w:sz w:val="22"/>
                <w:szCs w:val="22"/>
              </w:rPr>
              <w:t xml:space="preserve"> mimo jiné</w:t>
            </w:r>
            <w:r w:rsidRPr="006710DA">
              <w:rPr>
                <w:rFonts w:asciiTheme="minorHAnsi" w:hAnsiTheme="minorHAnsi"/>
                <w:sz w:val="22"/>
                <w:szCs w:val="22"/>
              </w:rPr>
              <w:t xml:space="preserve"> diskutována témata energetické strategie, a</w:t>
            </w:r>
            <w:r w:rsidR="002F1E7C">
              <w:rPr>
                <w:rFonts w:asciiTheme="minorHAnsi" w:hAnsiTheme="minorHAnsi"/>
                <w:sz w:val="22"/>
                <w:szCs w:val="22"/>
              </w:rPr>
              <w:t> </w:t>
            </w:r>
            <w:r w:rsidRPr="006710DA">
              <w:rPr>
                <w:rFonts w:asciiTheme="minorHAnsi" w:hAnsiTheme="minorHAnsi"/>
                <w:sz w:val="22"/>
                <w:szCs w:val="22"/>
              </w:rPr>
              <w:t>prezentuje výstupy státní energetické koncepce a na ni navazujících národních akčních plánů a dalších dokumentů odborné i laické veřejnosti.</w:t>
            </w:r>
          </w:p>
          <w:p w14:paraId="616A4578" w14:textId="6081BC38" w:rsidR="000816BE" w:rsidRPr="00D732E0" w:rsidRDefault="006710DA" w:rsidP="00095285">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6710DA">
              <w:rPr>
                <w:rFonts w:asciiTheme="minorHAnsi" w:hAnsiTheme="minorHAnsi"/>
                <w:sz w:val="22"/>
                <w:szCs w:val="22"/>
              </w:rPr>
              <w:t>Rektoři veřejných vysokých škol byli osloveni dopisem</w:t>
            </w:r>
            <w:r w:rsidR="001C3542">
              <w:rPr>
                <w:rFonts w:asciiTheme="minorHAnsi" w:hAnsiTheme="minorHAnsi"/>
                <w:sz w:val="22"/>
                <w:szCs w:val="22"/>
              </w:rPr>
              <w:t xml:space="preserve"> </w:t>
            </w:r>
            <w:r w:rsidRPr="006710DA">
              <w:rPr>
                <w:rFonts w:asciiTheme="minorHAnsi" w:hAnsiTheme="minorHAnsi"/>
                <w:sz w:val="22"/>
                <w:szCs w:val="22"/>
              </w:rPr>
              <w:t>ministra</w:t>
            </w:r>
            <w:r w:rsidR="00095285">
              <w:rPr>
                <w:rFonts w:asciiTheme="minorHAnsi" w:hAnsiTheme="minorHAnsi"/>
                <w:sz w:val="22"/>
                <w:szCs w:val="22"/>
              </w:rPr>
              <w:t xml:space="preserve"> průmyslu a obchodu</w:t>
            </w:r>
            <w:r w:rsidRPr="006710DA">
              <w:rPr>
                <w:rFonts w:asciiTheme="minorHAnsi" w:hAnsiTheme="minorHAnsi"/>
                <w:sz w:val="22"/>
                <w:szCs w:val="22"/>
              </w:rPr>
              <w:t xml:space="preserve"> ze dne 30.</w:t>
            </w:r>
            <w:r w:rsidR="002F1E7C">
              <w:rPr>
                <w:rFonts w:asciiTheme="minorHAnsi" w:hAnsiTheme="minorHAnsi"/>
                <w:sz w:val="22"/>
                <w:szCs w:val="22"/>
              </w:rPr>
              <w:t> </w:t>
            </w:r>
            <w:r w:rsidR="001C3542">
              <w:rPr>
                <w:rFonts w:asciiTheme="minorHAnsi" w:hAnsiTheme="minorHAnsi"/>
                <w:sz w:val="22"/>
                <w:szCs w:val="22"/>
              </w:rPr>
              <w:t>března 2016, jímž</w:t>
            </w:r>
            <w:r w:rsidRPr="006710DA">
              <w:rPr>
                <w:rFonts w:asciiTheme="minorHAnsi" w:hAnsiTheme="minorHAnsi"/>
                <w:sz w:val="22"/>
                <w:szCs w:val="22"/>
              </w:rPr>
              <w:t xml:space="preserve"> byli současně</w:t>
            </w:r>
            <w:r w:rsidR="001C3542">
              <w:rPr>
                <w:rFonts w:asciiTheme="minorHAnsi" w:hAnsiTheme="minorHAnsi"/>
                <w:sz w:val="22"/>
                <w:szCs w:val="22"/>
              </w:rPr>
              <w:t xml:space="preserve"> také</w:t>
            </w:r>
            <w:r w:rsidRPr="006710DA">
              <w:rPr>
                <w:rFonts w:asciiTheme="minorHAnsi" w:hAnsiTheme="minorHAnsi"/>
                <w:sz w:val="22"/>
                <w:szCs w:val="22"/>
              </w:rPr>
              <w:t xml:space="preserve"> pozváni na společné jednání s MŠMT k</w:t>
            </w:r>
            <w:r w:rsidR="002F1E7C">
              <w:rPr>
                <w:rFonts w:asciiTheme="minorHAnsi" w:hAnsiTheme="minorHAnsi"/>
                <w:sz w:val="22"/>
                <w:szCs w:val="22"/>
              </w:rPr>
              <w:t> </w:t>
            </w:r>
            <w:r w:rsidRPr="006710DA">
              <w:rPr>
                <w:rFonts w:asciiTheme="minorHAnsi" w:hAnsiTheme="minorHAnsi"/>
                <w:sz w:val="22"/>
                <w:szCs w:val="22"/>
              </w:rPr>
              <w:t>nástrojům SEK týkajících se působnosti vysokých škol v oblasti vzdělávání. Jednání se uskutečnilo v sídle MŠMT dne 6. května 2016 a v jeho rámci byl zjištěn také zájem ze strany veřejných vysokých škol o uspořádání odborných seminářů pro jejich studenty, pedagogy i odbornou veřejnost</w:t>
            </w:r>
            <w:r w:rsidR="00095285">
              <w:rPr>
                <w:rFonts w:asciiTheme="minorHAnsi" w:hAnsiTheme="minorHAnsi"/>
                <w:sz w:val="22"/>
                <w:szCs w:val="22"/>
              </w:rPr>
              <w:t>, které by byly</w:t>
            </w:r>
            <w:r w:rsidRPr="006710DA">
              <w:rPr>
                <w:rFonts w:asciiTheme="minorHAnsi" w:hAnsiTheme="minorHAnsi"/>
                <w:sz w:val="22"/>
                <w:szCs w:val="22"/>
              </w:rPr>
              <w:t xml:space="preserve"> zaměřen</w:t>
            </w:r>
            <w:r w:rsidR="00095285">
              <w:rPr>
                <w:rFonts w:asciiTheme="minorHAnsi" w:hAnsiTheme="minorHAnsi"/>
                <w:sz w:val="22"/>
                <w:szCs w:val="22"/>
              </w:rPr>
              <w:t>y</w:t>
            </w:r>
            <w:r w:rsidRPr="006710DA">
              <w:rPr>
                <w:rFonts w:asciiTheme="minorHAnsi" w:hAnsiTheme="minorHAnsi"/>
                <w:sz w:val="22"/>
                <w:szCs w:val="22"/>
              </w:rPr>
              <w:t xml:space="preserve"> na prezentaci SEK, jejích jednotlivých oblastí a souvislos</w:t>
            </w:r>
            <w:r w:rsidRPr="001C3542">
              <w:rPr>
                <w:rFonts w:asciiTheme="minorHAnsi" w:hAnsiTheme="minorHAnsi"/>
                <w:sz w:val="22"/>
                <w:szCs w:val="22"/>
              </w:rPr>
              <w:t>tí. V</w:t>
            </w:r>
            <w:r w:rsidR="00095285">
              <w:rPr>
                <w:rFonts w:asciiTheme="minorHAnsi" w:hAnsiTheme="minorHAnsi"/>
                <w:sz w:val="22"/>
                <w:szCs w:val="22"/>
              </w:rPr>
              <w:t> </w:t>
            </w:r>
            <w:r w:rsidRPr="001C3542">
              <w:rPr>
                <w:rFonts w:asciiTheme="minorHAnsi" w:hAnsiTheme="minorHAnsi"/>
                <w:sz w:val="22"/>
                <w:szCs w:val="22"/>
              </w:rPr>
              <w:t xml:space="preserve">návaznosti na toto jednání bylo </w:t>
            </w:r>
            <w:r w:rsidR="001C3542" w:rsidRPr="001C3542">
              <w:rPr>
                <w:rFonts w:asciiTheme="minorHAnsi" w:hAnsiTheme="minorHAnsi"/>
                <w:sz w:val="22"/>
                <w:szCs w:val="22"/>
              </w:rPr>
              <w:t xml:space="preserve">na podzim roku 2016 </w:t>
            </w:r>
            <w:r w:rsidRPr="001C3542">
              <w:rPr>
                <w:rFonts w:asciiTheme="minorHAnsi" w:hAnsiTheme="minorHAnsi"/>
                <w:sz w:val="22"/>
                <w:szCs w:val="22"/>
              </w:rPr>
              <w:t>uspořádán</w:t>
            </w:r>
            <w:r w:rsidR="001C3542" w:rsidRPr="001C3542">
              <w:rPr>
                <w:rFonts w:asciiTheme="minorHAnsi" w:hAnsiTheme="minorHAnsi"/>
                <w:sz w:val="22"/>
                <w:szCs w:val="22"/>
              </w:rPr>
              <w:t>o</w:t>
            </w:r>
            <w:r w:rsidRPr="001C3542">
              <w:rPr>
                <w:rFonts w:asciiTheme="minorHAnsi" w:hAnsiTheme="minorHAnsi"/>
                <w:sz w:val="22"/>
                <w:szCs w:val="22"/>
              </w:rPr>
              <w:t xml:space="preserve"> několik</w:t>
            </w:r>
            <w:r w:rsidR="001C3542" w:rsidRPr="001C3542">
              <w:rPr>
                <w:rFonts w:asciiTheme="minorHAnsi" w:hAnsiTheme="minorHAnsi"/>
                <w:sz w:val="22"/>
                <w:szCs w:val="22"/>
              </w:rPr>
              <w:t xml:space="preserve"> odborných</w:t>
            </w:r>
            <w:r w:rsidRPr="001C3542">
              <w:rPr>
                <w:rFonts w:asciiTheme="minorHAnsi" w:hAnsiTheme="minorHAnsi"/>
                <w:sz w:val="22"/>
                <w:szCs w:val="22"/>
              </w:rPr>
              <w:t xml:space="preserve"> seminářů na půdě vysokých škol</w:t>
            </w:r>
            <w:r w:rsidR="001C3542" w:rsidRPr="001C3542">
              <w:rPr>
                <w:rFonts w:asciiTheme="minorHAnsi" w:hAnsiTheme="minorHAnsi"/>
                <w:sz w:val="22"/>
                <w:szCs w:val="22"/>
              </w:rPr>
              <w:t>, na nichž byla ze strany MPO a také společností OTE, a.s.</w:t>
            </w:r>
            <w:r w:rsidR="00095285">
              <w:rPr>
                <w:rFonts w:asciiTheme="minorHAnsi" w:hAnsiTheme="minorHAnsi"/>
                <w:sz w:val="22"/>
                <w:szCs w:val="22"/>
              </w:rPr>
              <w:t>,</w:t>
            </w:r>
            <w:r w:rsidR="001C3542" w:rsidRPr="001C3542">
              <w:rPr>
                <w:rFonts w:asciiTheme="minorHAnsi" w:hAnsiTheme="minorHAnsi"/>
                <w:sz w:val="22"/>
                <w:szCs w:val="22"/>
              </w:rPr>
              <w:t xml:space="preserve"> a ČEPS, a.s.</w:t>
            </w:r>
            <w:r w:rsidR="00095285">
              <w:rPr>
                <w:rFonts w:asciiTheme="minorHAnsi" w:hAnsiTheme="minorHAnsi"/>
                <w:sz w:val="22"/>
                <w:szCs w:val="22"/>
              </w:rPr>
              <w:t>,</w:t>
            </w:r>
            <w:r w:rsidR="001C3542" w:rsidRPr="001C3542">
              <w:rPr>
                <w:rFonts w:asciiTheme="minorHAnsi" w:hAnsiTheme="minorHAnsi"/>
                <w:sz w:val="22"/>
                <w:szCs w:val="22"/>
              </w:rPr>
              <w:t xml:space="preserve"> prezentována témata energetické politiky, čisté mobility, chytrých sítí, jaderné energetiky, </w:t>
            </w:r>
            <w:r w:rsidR="00095285">
              <w:rPr>
                <w:rFonts w:asciiTheme="minorHAnsi" w:hAnsiTheme="minorHAnsi"/>
                <w:sz w:val="22"/>
                <w:szCs w:val="22"/>
              </w:rPr>
              <w:t xml:space="preserve">fungování energetických </w:t>
            </w:r>
            <w:r w:rsidR="001C3542" w:rsidRPr="001C3542">
              <w:rPr>
                <w:rFonts w:asciiTheme="minorHAnsi" w:hAnsiTheme="minorHAnsi"/>
                <w:sz w:val="22"/>
                <w:szCs w:val="22"/>
              </w:rPr>
              <w:t>trhů a</w:t>
            </w:r>
            <w:r w:rsidR="00095285">
              <w:rPr>
                <w:rFonts w:asciiTheme="minorHAnsi" w:hAnsiTheme="minorHAnsi"/>
                <w:sz w:val="22"/>
                <w:szCs w:val="22"/>
              </w:rPr>
              <w:t> </w:t>
            </w:r>
            <w:r w:rsidR="001C3542" w:rsidRPr="001C3542">
              <w:rPr>
                <w:rFonts w:asciiTheme="minorHAnsi" w:hAnsiTheme="minorHAnsi"/>
                <w:sz w:val="22"/>
                <w:szCs w:val="22"/>
              </w:rPr>
              <w:t>přiměřenosti výrobních kapacit.</w:t>
            </w:r>
          </w:p>
        </w:tc>
      </w:tr>
    </w:tbl>
    <w:p w14:paraId="786C3E2B" w14:textId="77777777" w:rsidR="00D732E0" w:rsidRDefault="00D732E0">
      <w:pPr>
        <w:jc w:val="both"/>
        <w:rPr>
          <w:rFonts w:asciiTheme="minorHAnsi" w:hAnsiTheme="minorHAnsi"/>
          <w:sz w:val="22"/>
          <w:szCs w:val="22"/>
        </w:rPr>
      </w:pPr>
    </w:p>
    <w:tbl>
      <w:tblPr>
        <w:tblStyle w:val="Mkatabulky"/>
        <w:tblW w:w="4959" w:type="pct"/>
        <w:tblLook w:val="04A0" w:firstRow="1" w:lastRow="0" w:firstColumn="1" w:lastColumn="0" w:noHBand="0" w:noVBand="1"/>
      </w:tblPr>
      <w:tblGrid>
        <w:gridCol w:w="1535"/>
        <w:gridCol w:w="7677"/>
      </w:tblGrid>
      <w:tr w:rsidR="000816BE" w:rsidRPr="006B443D" w14:paraId="45DCE159" w14:textId="77777777" w:rsidTr="002E4D72">
        <w:tc>
          <w:tcPr>
            <w:tcW w:w="833" w:type="pct"/>
            <w:shd w:val="clear" w:color="auto" w:fill="DBE5F1" w:themeFill="accent1" w:themeFillTint="33"/>
            <w:vAlign w:val="center"/>
          </w:tcPr>
          <w:p w14:paraId="6B9A00BD" w14:textId="77777777" w:rsidR="000816BE" w:rsidRPr="006B443D" w:rsidRDefault="000816BE" w:rsidP="00B2337B">
            <w:pPr>
              <w:keepNext/>
              <w:jc w:val="center"/>
              <w:rPr>
                <w:rFonts w:asciiTheme="minorHAnsi" w:hAnsiTheme="minorHAnsi"/>
                <w:b/>
                <w:sz w:val="22"/>
                <w:szCs w:val="22"/>
              </w:rPr>
            </w:pPr>
            <w:r w:rsidRPr="006B443D">
              <w:rPr>
                <w:rFonts w:asciiTheme="minorHAnsi" w:hAnsiTheme="minorHAnsi"/>
                <w:b/>
                <w:sz w:val="22"/>
                <w:szCs w:val="22"/>
              </w:rPr>
              <w:t>Nástroj</w:t>
            </w:r>
          </w:p>
        </w:tc>
        <w:tc>
          <w:tcPr>
            <w:tcW w:w="4167" w:type="pct"/>
            <w:shd w:val="clear" w:color="auto" w:fill="DBE5F1" w:themeFill="accent1" w:themeFillTint="33"/>
            <w:vAlign w:val="center"/>
          </w:tcPr>
          <w:p w14:paraId="0E1B3C16" w14:textId="77777777" w:rsidR="000816BE" w:rsidRPr="006B443D" w:rsidRDefault="006710DA" w:rsidP="00B2337B">
            <w:pPr>
              <w:keepNext/>
              <w:spacing w:before="120" w:after="120"/>
              <w:jc w:val="both"/>
              <w:rPr>
                <w:rFonts w:asciiTheme="minorHAnsi" w:hAnsiTheme="minorHAnsi"/>
                <w:b/>
                <w:sz w:val="22"/>
                <w:szCs w:val="22"/>
              </w:rPr>
            </w:pPr>
            <w:r w:rsidRPr="006710DA">
              <w:rPr>
                <w:rFonts w:asciiTheme="minorHAnsi" w:hAnsiTheme="minorHAnsi"/>
                <w:b/>
                <w:sz w:val="22"/>
                <w:szCs w:val="22"/>
              </w:rPr>
              <w:t>Oslovit vedení vysokých škol</w:t>
            </w:r>
          </w:p>
        </w:tc>
      </w:tr>
      <w:tr w:rsidR="000816BE" w:rsidRPr="006B443D" w14:paraId="49667027" w14:textId="77777777" w:rsidTr="002E4D72">
        <w:tc>
          <w:tcPr>
            <w:tcW w:w="833" w:type="pct"/>
            <w:vAlign w:val="center"/>
          </w:tcPr>
          <w:p w14:paraId="45BDE681"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Podrobnosti</w:t>
            </w:r>
          </w:p>
        </w:tc>
        <w:tc>
          <w:tcPr>
            <w:tcW w:w="4167" w:type="pct"/>
            <w:vAlign w:val="center"/>
          </w:tcPr>
          <w:p w14:paraId="2140AE2B" w14:textId="07E897FA" w:rsidR="000816BE" w:rsidRPr="006B443D" w:rsidRDefault="006710DA" w:rsidP="002F1E7C">
            <w:pPr>
              <w:pStyle w:val="Odstavecseseznamem"/>
              <w:numPr>
                <w:ilvl w:val="0"/>
                <w:numId w:val="3"/>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6710DA">
              <w:rPr>
                <w:rFonts w:asciiTheme="minorHAnsi" w:hAnsiTheme="minorHAnsi"/>
                <w:sz w:val="22"/>
                <w:szCs w:val="22"/>
              </w:rPr>
              <w:t>Doporučit rektorům vysokých škol zařazení informací o energetice a energetické strategii do studijních programů všech technických vysokých škol a alespoň v</w:t>
            </w:r>
            <w:r w:rsidR="002F1E7C">
              <w:rPr>
                <w:rFonts w:asciiTheme="minorHAnsi" w:hAnsiTheme="minorHAnsi"/>
                <w:sz w:val="22"/>
                <w:szCs w:val="22"/>
              </w:rPr>
              <w:t> </w:t>
            </w:r>
            <w:r w:rsidRPr="006710DA">
              <w:rPr>
                <w:rFonts w:asciiTheme="minorHAnsi" w:hAnsiTheme="minorHAnsi"/>
                <w:sz w:val="22"/>
                <w:szCs w:val="22"/>
              </w:rPr>
              <w:t>základní podobě do studijních programů humanitně zaměřených vysokých škol.</w:t>
            </w:r>
          </w:p>
        </w:tc>
      </w:tr>
      <w:tr w:rsidR="000816BE" w:rsidRPr="006B443D" w14:paraId="1CB79438" w14:textId="77777777" w:rsidTr="002E4D72">
        <w:tc>
          <w:tcPr>
            <w:tcW w:w="833" w:type="pct"/>
            <w:vAlign w:val="center"/>
          </w:tcPr>
          <w:p w14:paraId="79E95B69"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Gesce</w:t>
            </w:r>
          </w:p>
        </w:tc>
        <w:tc>
          <w:tcPr>
            <w:tcW w:w="4167" w:type="pct"/>
            <w:vAlign w:val="center"/>
          </w:tcPr>
          <w:p w14:paraId="0864C3C8" w14:textId="77777777" w:rsidR="000816BE" w:rsidRPr="006B443D" w:rsidRDefault="006710DA" w:rsidP="002E4D72">
            <w:pPr>
              <w:spacing w:before="120" w:after="120"/>
              <w:jc w:val="both"/>
              <w:rPr>
                <w:rFonts w:asciiTheme="minorHAnsi" w:hAnsiTheme="minorHAnsi"/>
                <w:sz w:val="22"/>
                <w:szCs w:val="22"/>
              </w:rPr>
            </w:pPr>
            <w:r>
              <w:rPr>
                <w:rFonts w:asciiTheme="minorHAnsi" w:hAnsiTheme="minorHAnsi"/>
                <w:sz w:val="22"/>
                <w:szCs w:val="22"/>
              </w:rPr>
              <w:t>MPO</w:t>
            </w:r>
          </w:p>
        </w:tc>
      </w:tr>
      <w:tr w:rsidR="000816BE" w:rsidRPr="006B443D" w14:paraId="6132C97E" w14:textId="77777777" w:rsidTr="002E4D72">
        <w:tc>
          <w:tcPr>
            <w:tcW w:w="833" w:type="pct"/>
            <w:vAlign w:val="center"/>
          </w:tcPr>
          <w:p w14:paraId="49BDE389"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t>Termín</w:t>
            </w:r>
          </w:p>
        </w:tc>
        <w:tc>
          <w:tcPr>
            <w:tcW w:w="4167" w:type="pct"/>
            <w:vAlign w:val="center"/>
          </w:tcPr>
          <w:p w14:paraId="14CEEBA5" w14:textId="77777777" w:rsidR="000816BE" w:rsidRPr="006B443D" w:rsidRDefault="006710DA" w:rsidP="002E4D72">
            <w:pPr>
              <w:spacing w:before="120" w:after="120"/>
              <w:jc w:val="both"/>
              <w:rPr>
                <w:rFonts w:asciiTheme="minorHAnsi" w:hAnsiTheme="minorHAnsi"/>
                <w:sz w:val="22"/>
                <w:szCs w:val="22"/>
              </w:rPr>
            </w:pPr>
            <w:r w:rsidRPr="006710DA">
              <w:rPr>
                <w:rFonts w:asciiTheme="minorHAnsi" w:hAnsiTheme="minorHAnsi"/>
                <w:sz w:val="22"/>
                <w:szCs w:val="22"/>
              </w:rPr>
              <w:t>do 31. 12. 2014</w:t>
            </w:r>
          </w:p>
        </w:tc>
      </w:tr>
      <w:tr w:rsidR="000816BE" w:rsidRPr="006B443D" w14:paraId="33712F7B" w14:textId="77777777" w:rsidTr="002E4D72">
        <w:tc>
          <w:tcPr>
            <w:tcW w:w="833" w:type="pct"/>
            <w:vAlign w:val="center"/>
          </w:tcPr>
          <w:p w14:paraId="7468DB95" w14:textId="77777777" w:rsidR="000816BE" w:rsidRPr="006B443D" w:rsidRDefault="000816BE" w:rsidP="002E4D72">
            <w:pPr>
              <w:jc w:val="center"/>
              <w:rPr>
                <w:rFonts w:asciiTheme="minorHAnsi" w:hAnsiTheme="minorHAnsi"/>
                <w:b/>
                <w:sz w:val="22"/>
                <w:szCs w:val="22"/>
              </w:rPr>
            </w:pPr>
            <w:r w:rsidRPr="006B443D">
              <w:rPr>
                <w:rFonts w:asciiTheme="minorHAnsi" w:hAnsiTheme="minorHAnsi"/>
                <w:b/>
                <w:sz w:val="22"/>
                <w:szCs w:val="22"/>
              </w:rPr>
              <w:lastRenderedPageBreak/>
              <w:t>Popis plnění</w:t>
            </w:r>
          </w:p>
        </w:tc>
        <w:tc>
          <w:tcPr>
            <w:tcW w:w="4167" w:type="pct"/>
            <w:vAlign w:val="center"/>
          </w:tcPr>
          <w:p w14:paraId="75BCEA26" w14:textId="77777777" w:rsidR="006710DA" w:rsidRPr="006710DA" w:rsidRDefault="006710DA" w:rsidP="006710DA">
            <w:pPr>
              <w:overflowPunct w:val="0"/>
              <w:autoSpaceDE w:val="0"/>
              <w:autoSpaceDN w:val="0"/>
              <w:adjustRightInd w:val="0"/>
              <w:spacing w:before="120" w:after="120"/>
              <w:jc w:val="both"/>
              <w:textAlignment w:val="baseline"/>
              <w:rPr>
                <w:rFonts w:asciiTheme="minorHAnsi" w:hAnsiTheme="minorHAnsi"/>
                <w:b/>
                <w:sz w:val="22"/>
                <w:szCs w:val="22"/>
              </w:rPr>
            </w:pPr>
            <w:r w:rsidRPr="006710DA">
              <w:rPr>
                <w:rFonts w:asciiTheme="minorHAnsi" w:hAnsiTheme="minorHAnsi"/>
                <w:b/>
                <w:sz w:val="22"/>
                <w:szCs w:val="22"/>
              </w:rPr>
              <w:t>Splněno</w:t>
            </w:r>
          </w:p>
          <w:p w14:paraId="6B6F99EE" w14:textId="692B1E2E" w:rsidR="000816BE" w:rsidRPr="00E04A6D" w:rsidRDefault="006710DA" w:rsidP="00EF1345">
            <w:pPr>
              <w:pStyle w:val="Odstavecseseznamem"/>
              <w:numPr>
                <w:ilvl w:val="0"/>
                <w:numId w:val="4"/>
              </w:numPr>
              <w:overflowPunct w:val="0"/>
              <w:autoSpaceDE w:val="0"/>
              <w:autoSpaceDN w:val="0"/>
              <w:adjustRightInd w:val="0"/>
              <w:spacing w:before="120" w:after="120"/>
              <w:ind w:left="284" w:hanging="284"/>
              <w:jc w:val="both"/>
              <w:textAlignment w:val="baseline"/>
              <w:rPr>
                <w:rFonts w:asciiTheme="minorHAnsi" w:hAnsiTheme="minorHAnsi"/>
                <w:sz w:val="22"/>
                <w:szCs w:val="22"/>
              </w:rPr>
            </w:pPr>
            <w:r w:rsidRPr="00E04A6D">
              <w:rPr>
                <w:rFonts w:asciiTheme="minorHAnsi" w:hAnsiTheme="minorHAnsi"/>
                <w:sz w:val="22"/>
                <w:szCs w:val="22"/>
              </w:rPr>
              <w:t>Rektoři veřejných vysokých škol byli osloveni dopisem ministra</w:t>
            </w:r>
            <w:r w:rsidR="00095285">
              <w:rPr>
                <w:rFonts w:asciiTheme="minorHAnsi" w:hAnsiTheme="minorHAnsi"/>
                <w:sz w:val="22"/>
                <w:szCs w:val="22"/>
              </w:rPr>
              <w:t xml:space="preserve"> průmyslu a obchodu</w:t>
            </w:r>
            <w:r w:rsidRPr="00E04A6D">
              <w:rPr>
                <w:rFonts w:asciiTheme="minorHAnsi" w:hAnsiTheme="minorHAnsi"/>
                <w:sz w:val="22"/>
                <w:szCs w:val="22"/>
              </w:rPr>
              <w:t xml:space="preserve"> ze dne 30.</w:t>
            </w:r>
            <w:r w:rsidR="002F1E7C">
              <w:rPr>
                <w:rFonts w:asciiTheme="minorHAnsi" w:hAnsiTheme="minorHAnsi"/>
                <w:sz w:val="22"/>
                <w:szCs w:val="22"/>
              </w:rPr>
              <w:t> </w:t>
            </w:r>
            <w:r w:rsidRPr="00E04A6D">
              <w:rPr>
                <w:rFonts w:asciiTheme="minorHAnsi" w:hAnsiTheme="minorHAnsi"/>
                <w:sz w:val="22"/>
                <w:szCs w:val="22"/>
              </w:rPr>
              <w:t xml:space="preserve">března 2016 a byli současně </w:t>
            </w:r>
            <w:r w:rsidR="00095285">
              <w:rPr>
                <w:rFonts w:asciiTheme="minorHAnsi" w:hAnsiTheme="minorHAnsi"/>
                <w:sz w:val="22"/>
                <w:szCs w:val="22"/>
              </w:rPr>
              <w:t xml:space="preserve">také </w:t>
            </w:r>
            <w:r w:rsidRPr="00E04A6D">
              <w:rPr>
                <w:rFonts w:asciiTheme="minorHAnsi" w:hAnsiTheme="minorHAnsi"/>
                <w:sz w:val="22"/>
                <w:szCs w:val="22"/>
              </w:rPr>
              <w:t>pozváni na společné jednání s</w:t>
            </w:r>
            <w:r w:rsidR="00095285">
              <w:rPr>
                <w:rFonts w:asciiTheme="minorHAnsi" w:hAnsiTheme="minorHAnsi"/>
                <w:sz w:val="22"/>
                <w:szCs w:val="22"/>
              </w:rPr>
              <w:t> </w:t>
            </w:r>
            <w:r w:rsidRPr="00E04A6D">
              <w:rPr>
                <w:rFonts w:asciiTheme="minorHAnsi" w:hAnsiTheme="minorHAnsi"/>
                <w:sz w:val="22"/>
                <w:szCs w:val="22"/>
              </w:rPr>
              <w:t>MŠMT k</w:t>
            </w:r>
            <w:r w:rsidR="002F1E7C">
              <w:rPr>
                <w:rFonts w:asciiTheme="minorHAnsi" w:hAnsiTheme="minorHAnsi"/>
                <w:sz w:val="22"/>
                <w:szCs w:val="22"/>
              </w:rPr>
              <w:t> </w:t>
            </w:r>
            <w:r w:rsidRPr="00E04A6D">
              <w:rPr>
                <w:rFonts w:asciiTheme="minorHAnsi" w:hAnsiTheme="minorHAnsi"/>
                <w:sz w:val="22"/>
                <w:szCs w:val="22"/>
              </w:rPr>
              <w:t xml:space="preserve">nástrojům SEK týkajících se působnosti vysokých škol v oblasti vzdělávání. Jednání se uskutečnilo v sídle MŠMT dne 6. května 2016 a v jeho rámci byly diskutovány </w:t>
            </w:r>
            <w:r w:rsidR="00095285">
              <w:rPr>
                <w:rFonts w:asciiTheme="minorHAnsi" w:hAnsiTheme="minorHAnsi"/>
                <w:sz w:val="22"/>
                <w:szCs w:val="22"/>
              </w:rPr>
              <w:t xml:space="preserve">i </w:t>
            </w:r>
            <w:r w:rsidRPr="00E04A6D">
              <w:rPr>
                <w:rFonts w:asciiTheme="minorHAnsi" w:hAnsiTheme="minorHAnsi"/>
                <w:sz w:val="22"/>
                <w:szCs w:val="22"/>
              </w:rPr>
              <w:t>možnosti zařazení informací o energeti</w:t>
            </w:r>
            <w:r w:rsidR="00095285">
              <w:rPr>
                <w:rFonts w:asciiTheme="minorHAnsi" w:hAnsiTheme="minorHAnsi"/>
                <w:sz w:val="22"/>
                <w:szCs w:val="22"/>
              </w:rPr>
              <w:t>ce a energetické strategii, jejich formulace a důsledků jejich</w:t>
            </w:r>
            <w:r w:rsidRPr="00E04A6D">
              <w:rPr>
                <w:rFonts w:asciiTheme="minorHAnsi" w:hAnsiTheme="minorHAnsi"/>
                <w:sz w:val="22"/>
                <w:szCs w:val="22"/>
              </w:rPr>
              <w:t xml:space="preserve"> implementace do akreditovaných studijních programů (např. v rozsahu 2</w:t>
            </w:r>
            <w:r w:rsidR="00095285">
              <w:rPr>
                <w:rFonts w:asciiTheme="minorHAnsi" w:hAnsiTheme="minorHAnsi"/>
                <w:sz w:val="22"/>
                <w:szCs w:val="22"/>
              </w:rPr>
              <w:t xml:space="preserve"> až </w:t>
            </w:r>
            <w:r w:rsidRPr="00E04A6D">
              <w:rPr>
                <w:rFonts w:asciiTheme="minorHAnsi" w:hAnsiTheme="minorHAnsi"/>
                <w:sz w:val="22"/>
                <w:szCs w:val="22"/>
              </w:rPr>
              <w:t xml:space="preserve">3 vyučovacích hodin), </w:t>
            </w:r>
            <w:r w:rsidR="00095285">
              <w:rPr>
                <w:rFonts w:asciiTheme="minorHAnsi" w:hAnsiTheme="minorHAnsi"/>
                <w:sz w:val="22"/>
                <w:szCs w:val="22"/>
              </w:rPr>
              <w:t>nebo</w:t>
            </w:r>
            <w:r w:rsidRPr="00E04A6D">
              <w:rPr>
                <w:rFonts w:asciiTheme="minorHAnsi" w:hAnsiTheme="minorHAnsi"/>
                <w:sz w:val="22"/>
                <w:szCs w:val="22"/>
              </w:rPr>
              <w:t xml:space="preserve"> nových studijních programů. Rektorům veřejných vysokých škol bylo</w:t>
            </w:r>
            <w:r w:rsidR="00095285">
              <w:rPr>
                <w:rFonts w:asciiTheme="minorHAnsi" w:hAnsiTheme="minorHAnsi"/>
                <w:sz w:val="22"/>
                <w:szCs w:val="22"/>
              </w:rPr>
              <w:t xml:space="preserve"> dále</w:t>
            </w:r>
            <w:r w:rsidRPr="00E04A6D">
              <w:rPr>
                <w:rFonts w:asciiTheme="minorHAnsi" w:hAnsiTheme="minorHAnsi"/>
                <w:sz w:val="22"/>
                <w:szCs w:val="22"/>
              </w:rPr>
              <w:t xml:space="preserve"> doporučeno zařazení těchto informací do studijních programů všech technických vysokých škol a fakult a v základní podobě </w:t>
            </w:r>
            <w:r w:rsidR="00095285">
              <w:rPr>
                <w:rFonts w:asciiTheme="minorHAnsi" w:hAnsiTheme="minorHAnsi"/>
                <w:sz w:val="22"/>
                <w:szCs w:val="22"/>
              </w:rPr>
              <w:t>rovněž</w:t>
            </w:r>
            <w:r w:rsidRPr="00E04A6D">
              <w:rPr>
                <w:rFonts w:asciiTheme="minorHAnsi" w:hAnsiTheme="minorHAnsi"/>
                <w:sz w:val="22"/>
                <w:szCs w:val="22"/>
              </w:rPr>
              <w:t xml:space="preserve"> do studijních programů humanitně zaměřených vysokých škol a fakult. Ze strany MPO byla také nabídnuta pomoc při identifikaci vhodných studijních programů, spolupráce na obsahové stránce a míře podrobnosti informací, které by mohly být do jednotlivýc</w:t>
            </w:r>
            <w:r w:rsidR="00EF1345">
              <w:rPr>
                <w:rFonts w:asciiTheme="minorHAnsi" w:hAnsiTheme="minorHAnsi"/>
                <w:sz w:val="22"/>
                <w:szCs w:val="22"/>
              </w:rPr>
              <w:t>h studijních programů zařazeny, stejně jako</w:t>
            </w:r>
            <w:r w:rsidRPr="00E04A6D">
              <w:rPr>
                <w:rFonts w:asciiTheme="minorHAnsi" w:hAnsiTheme="minorHAnsi"/>
                <w:sz w:val="22"/>
                <w:szCs w:val="22"/>
              </w:rPr>
              <w:t xml:space="preserve"> poskytnutí relevantních podkladů využitelných pro přípravu výuky.</w:t>
            </w:r>
          </w:p>
        </w:tc>
      </w:tr>
    </w:tbl>
    <w:p w14:paraId="726B5809" w14:textId="46DC52A0" w:rsidR="001E07D3" w:rsidRDefault="002516CA" w:rsidP="001E07D3">
      <w:pPr>
        <w:pStyle w:val="Nadpis1"/>
      </w:pPr>
      <w:bookmarkStart w:id="29" w:name="_Toc498509205"/>
      <w:r>
        <w:t>Závěr</w:t>
      </w:r>
      <w:bookmarkEnd w:id="29"/>
    </w:p>
    <w:p w14:paraId="12195253" w14:textId="1464CC23" w:rsidR="00E04BCF" w:rsidRDefault="005C7579" w:rsidP="009B705C">
      <w:pPr>
        <w:jc w:val="both"/>
        <w:rPr>
          <w:rFonts w:asciiTheme="minorHAnsi" w:hAnsiTheme="minorHAnsi" w:cs="Arial"/>
          <w:sz w:val="22"/>
          <w:szCs w:val="22"/>
        </w:rPr>
      </w:pPr>
      <w:r w:rsidRPr="000B6057">
        <w:rPr>
          <w:rFonts w:asciiTheme="minorHAnsi" w:hAnsiTheme="minorHAnsi" w:cs="Arial"/>
          <w:sz w:val="22"/>
          <w:szCs w:val="22"/>
        </w:rPr>
        <w:t xml:space="preserve">Na základě vyhodnocení stavu a způsobu plnění jednotlivých nástrojů Státní energetické koncepce ČR je možné konstatovat, že dochází k postupné implementaci opatření, která směřují k naplnění cílů tohoto strategického dokumentu. Přestože u některých úkolů dochází ke zpoždění jejich plnění, nebo došlo </w:t>
      </w:r>
      <w:r w:rsidR="0029302A" w:rsidRPr="000B6057">
        <w:rPr>
          <w:rFonts w:asciiTheme="minorHAnsi" w:hAnsiTheme="minorHAnsi" w:cs="Arial"/>
          <w:sz w:val="22"/>
          <w:szCs w:val="22"/>
        </w:rPr>
        <w:t xml:space="preserve">zatím </w:t>
      </w:r>
      <w:r w:rsidRPr="000B6057">
        <w:rPr>
          <w:rFonts w:asciiTheme="minorHAnsi" w:hAnsiTheme="minorHAnsi" w:cs="Arial"/>
          <w:sz w:val="22"/>
          <w:szCs w:val="22"/>
        </w:rPr>
        <w:t xml:space="preserve">pouze k jejich dílčímu splnění, je třeba zdůraznit, že z tohoto pohledu nebyly zjištěny </w:t>
      </w:r>
      <w:r w:rsidRPr="00E2556D">
        <w:rPr>
          <w:rFonts w:asciiTheme="minorHAnsi" w:hAnsiTheme="minorHAnsi" w:cs="Arial"/>
          <w:sz w:val="22"/>
          <w:szCs w:val="22"/>
        </w:rPr>
        <w:t>důvody, které by vedly k nutnosti tyto nástroje v současné době upravovat.</w:t>
      </w:r>
      <w:r w:rsidR="00E04BCF">
        <w:rPr>
          <w:rFonts w:asciiTheme="minorHAnsi" w:hAnsiTheme="minorHAnsi" w:cs="Arial"/>
          <w:sz w:val="22"/>
          <w:szCs w:val="22"/>
        </w:rPr>
        <w:br w:type="page"/>
      </w:r>
    </w:p>
    <w:p w14:paraId="0E8B8332" w14:textId="37DCD134" w:rsidR="00E04BCF" w:rsidRDefault="00E04BCF" w:rsidP="00E04BCF">
      <w:pPr>
        <w:pStyle w:val="Nadpis1"/>
        <w:numPr>
          <w:ilvl w:val="0"/>
          <w:numId w:val="0"/>
        </w:numPr>
        <w:spacing w:before="0"/>
        <w:ind w:left="357" w:hanging="357"/>
      </w:pPr>
      <w:bookmarkStart w:id="30" w:name="_Toc498509206"/>
      <w:r>
        <w:lastRenderedPageBreak/>
        <w:t>Seznam zkratek</w:t>
      </w:r>
      <w:bookmarkEnd w:id="30"/>
    </w:p>
    <w:p w14:paraId="3F323CCA" w14:textId="595A73E9" w:rsidR="00C26CA6" w:rsidRDefault="00C26CA6" w:rsidP="00C26CA6">
      <w:pPr>
        <w:spacing w:after="120"/>
        <w:ind w:left="1410" w:hanging="1410"/>
        <w:jc w:val="both"/>
        <w:rPr>
          <w:rFonts w:asciiTheme="minorHAnsi" w:hAnsiTheme="minorHAnsi" w:cs="Arial"/>
          <w:sz w:val="22"/>
          <w:szCs w:val="22"/>
        </w:rPr>
      </w:pPr>
      <w:r w:rsidRPr="00C26CA6">
        <w:rPr>
          <w:rFonts w:asciiTheme="minorHAnsi" w:hAnsiTheme="minorHAnsi" w:cs="Arial"/>
          <w:sz w:val="22"/>
          <w:szCs w:val="22"/>
        </w:rPr>
        <w:t>ACER</w:t>
      </w:r>
      <w:r w:rsidRPr="00C26CA6">
        <w:rPr>
          <w:rFonts w:asciiTheme="minorHAnsi" w:hAnsiTheme="minorHAnsi" w:cs="Arial"/>
          <w:sz w:val="22"/>
          <w:szCs w:val="22"/>
        </w:rPr>
        <w:tab/>
      </w:r>
      <w:r w:rsidRPr="00C26CA6">
        <w:rPr>
          <w:rFonts w:asciiTheme="minorHAnsi" w:hAnsiTheme="minorHAnsi" w:cs="Arial"/>
          <w:sz w:val="22"/>
          <w:szCs w:val="22"/>
        </w:rPr>
        <w:tab/>
        <w:t>Agentura pro spolupráci energetických regulačních orgánů</w:t>
      </w:r>
    </w:p>
    <w:p w14:paraId="1CCB8FA1" w14:textId="6F11B72F" w:rsidR="00F264BD" w:rsidRPr="00C26CA6" w:rsidRDefault="00F264BD" w:rsidP="00C26CA6">
      <w:pPr>
        <w:spacing w:after="120"/>
        <w:ind w:left="1410" w:hanging="1410"/>
        <w:jc w:val="both"/>
        <w:rPr>
          <w:rFonts w:asciiTheme="minorHAnsi" w:hAnsiTheme="minorHAnsi" w:cs="Arial"/>
          <w:sz w:val="22"/>
          <w:szCs w:val="22"/>
        </w:rPr>
      </w:pPr>
      <w:r w:rsidRPr="00F264BD">
        <w:rPr>
          <w:rFonts w:asciiTheme="minorHAnsi" w:hAnsiTheme="minorHAnsi" w:cs="Arial"/>
          <w:sz w:val="22"/>
          <w:szCs w:val="22"/>
        </w:rPr>
        <w:t>ACOMES</w:t>
      </w:r>
      <w:r>
        <w:rPr>
          <w:rFonts w:asciiTheme="minorHAnsi" w:hAnsiTheme="minorHAnsi" w:cs="Arial"/>
          <w:sz w:val="22"/>
          <w:szCs w:val="22"/>
        </w:rPr>
        <w:tab/>
      </w:r>
      <w:proofErr w:type="spellStart"/>
      <w:r w:rsidR="003F0670" w:rsidRPr="003F0670">
        <w:rPr>
          <w:rFonts w:asciiTheme="minorHAnsi" w:hAnsiTheme="minorHAnsi" w:cs="Arial"/>
          <w:sz w:val="22"/>
          <w:szCs w:val="22"/>
        </w:rPr>
        <w:t>Annual</w:t>
      </w:r>
      <w:proofErr w:type="spellEnd"/>
      <w:r w:rsidR="003F0670" w:rsidRPr="003F0670">
        <w:rPr>
          <w:rFonts w:asciiTheme="minorHAnsi" w:hAnsiTheme="minorHAnsi" w:cs="Arial"/>
          <w:sz w:val="22"/>
          <w:szCs w:val="22"/>
        </w:rPr>
        <w:t xml:space="preserve"> </w:t>
      </w:r>
      <w:proofErr w:type="spellStart"/>
      <w:r w:rsidR="003F0670" w:rsidRPr="003F0670">
        <w:rPr>
          <w:rFonts w:asciiTheme="minorHAnsi" w:hAnsiTheme="minorHAnsi" w:cs="Arial"/>
          <w:sz w:val="22"/>
          <w:szCs w:val="22"/>
        </w:rPr>
        <w:t>Coordinating</w:t>
      </w:r>
      <w:proofErr w:type="spellEnd"/>
      <w:r w:rsidR="003F0670" w:rsidRPr="003F0670">
        <w:rPr>
          <w:rFonts w:asciiTheme="minorHAnsi" w:hAnsiTheme="minorHAnsi" w:cs="Arial"/>
          <w:sz w:val="22"/>
          <w:szCs w:val="22"/>
        </w:rPr>
        <w:t xml:space="preserve"> Meeting </w:t>
      </w:r>
      <w:proofErr w:type="spellStart"/>
      <w:r w:rsidR="003F0670" w:rsidRPr="003F0670">
        <w:rPr>
          <w:rFonts w:asciiTheme="minorHAnsi" w:hAnsiTheme="minorHAnsi" w:cs="Arial"/>
          <w:sz w:val="22"/>
          <w:szCs w:val="22"/>
        </w:rPr>
        <w:t>Entities</w:t>
      </w:r>
      <w:proofErr w:type="spellEnd"/>
      <w:r w:rsidR="003F0670" w:rsidRPr="003F0670">
        <w:rPr>
          <w:rFonts w:asciiTheme="minorHAnsi" w:hAnsiTheme="minorHAnsi" w:cs="Arial"/>
          <w:sz w:val="22"/>
          <w:szCs w:val="22"/>
        </w:rPr>
        <w:t xml:space="preserve"> </w:t>
      </w:r>
      <w:proofErr w:type="spellStart"/>
      <w:r w:rsidR="003F0670" w:rsidRPr="003F0670">
        <w:rPr>
          <w:rFonts w:asciiTheme="minorHAnsi" w:hAnsiTheme="minorHAnsi" w:cs="Arial"/>
          <w:sz w:val="22"/>
          <w:szCs w:val="22"/>
        </w:rPr>
        <w:t>Stockholding</w:t>
      </w:r>
      <w:proofErr w:type="spellEnd"/>
    </w:p>
    <w:p w14:paraId="0552EC46"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AV ČR</w:t>
      </w:r>
      <w:r w:rsidRPr="00C26CA6">
        <w:rPr>
          <w:rFonts w:asciiTheme="minorHAnsi" w:hAnsiTheme="minorHAnsi" w:cs="Arial"/>
          <w:sz w:val="22"/>
          <w:szCs w:val="22"/>
        </w:rPr>
        <w:tab/>
      </w:r>
      <w:r w:rsidRPr="00C26CA6">
        <w:rPr>
          <w:rFonts w:asciiTheme="minorHAnsi" w:hAnsiTheme="minorHAnsi" w:cs="Arial"/>
          <w:sz w:val="22"/>
          <w:szCs w:val="22"/>
        </w:rPr>
        <w:tab/>
        <w:t>Akademie věd České republiky</w:t>
      </w:r>
    </w:p>
    <w:p w14:paraId="593EF991" w14:textId="4F011FC5"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CBCA</w:t>
      </w:r>
      <w:r w:rsidRPr="00C26CA6">
        <w:rPr>
          <w:rFonts w:asciiTheme="minorHAnsi" w:hAnsiTheme="minorHAnsi" w:cs="Arial"/>
          <w:sz w:val="22"/>
          <w:szCs w:val="22"/>
        </w:rPr>
        <w:tab/>
      </w:r>
      <w:r w:rsidRPr="00C26CA6">
        <w:rPr>
          <w:rFonts w:asciiTheme="minorHAnsi" w:hAnsiTheme="minorHAnsi" w:cs="Arial"/>
          <w:sz w:val="22"/>
          <w:szCs w:val="22"/>
        </w:rPr>
        <w:tab/>
        <w:t>přeshraniční rozdělení nákladů</w:t>
      </w:r>
    </w:p>
    <w:p w14:paraId="5FF91C18" w14:textId="40A43E59"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CEE</w:t>
      </w:r>
      <w:r w:rsidRPr="00C26CA6">
        <w:rPr>
          <w:rFonts w:asciiTheme="minorHAnsi" w:hAnsiTheme="minorHAnsi" w:cs="Arial"/>
          <w:sz w:val="22"/>
          <w:szCs w:val="22"/>
        </w:rPr>
        <w:tab/>
      </w:r>
      <w:r w:rsidRPr="00C26CA6">
        <w:rPr>
          <w:rFonts w:asciiTheme="minorHAnsi" w:hAnsiTheme="minorHAnsi" w:cs="Arial"/>
          <w:sz w:val="22"/>
          <w:szCs w:val="22"/>
        </w:rPr>
        <w:tab/>
        <w:t>střední a východní Evropa</w:t>
      </w:r>
    </w:p>
    <w:p w14:paraId="72B7BE8D" w14:textId="1DD2EC3E"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CEER</w:t>
      </w:r>
      <w:r w:rsidRPr="00C26CA6">
        <w:rPr>
          <w:rFonts w:asciiTheme="minorHAnsi" w:hAnsiTheme="minorHAnsi" w:cs="Arial"/>
          <w:sz w:val="22"/>
          <w:szCs w:val="22"/>
        </w:rPr>
        <w:tab/>
      </w:r>
      <w:r w:rsidRPr="00C26CA6">
        <w:rPr>
          <w:rFonts w:asciiTheme="minorHAnsi" w:hAnsiTheme="minorHAnsi" w:cs="Arial"/>
          <w:sz w:val="22"/>
          <w:szCs w:val="22"/>
        </w:rPr>
        <w:tab/>
        <w:t>Rada evropských energetických regulátorů</w:t>
      </w:r>
    </w:p>
    <w:p w14:paraId="0E160E67" w14:textId="6DD7552F" w:rsid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CEF</w:t>
      </w:r>
      <w:r w:rsidRPr="00C26CA6">
        <w:rPr>
          <w:rFonts w:asciiTheme="minorHAnsi" w:hAnsiTheme="minorHAnsi" w:cs="Arial"/>
          <w:sz w:val="22"/>
          <w:szCs w:val="22"/>
        </w:rPr>
        <w:tab/>
      </w:r>
      <w:r w:rsidRPr="00C26CA6">
        <w:rPr>
          <w:rFonts w:asciiTheme="minorHAnsi" w:hAnsiTheme="minorHAnsi" w:cs="Arial"/>
          <w:sz w:val="22"/>
          <w:szCs w:val="22"/>
        </w:rPr>
        <w:tab/>
        <w:t>Nástroj pro propojení Evropy</w:t>
      </w:r>
    </w:p>
    <w:p w14:paraId="7F333D89" w14:textId="0D94F463"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CNG</w:t>
      </w:r>
      <w:r w:rsidRPr="00C26CA6">
        <w:rPr>
          <w:rFonts w:asciiTheme="minorHAnsi" w:hAnsiTheme="minorHAnsi" w:cs="Arial"/>
          <w:sz w:val="22"/>
          <w:szCs w:val="22"/>
        </w:rPr>
        <w:tab/>
      </w:r>
      <w:r w:rsidRPr="00C26CA6">
        <w:rPr>
          <w:rFonts w:asciiTheme="minorHAnsi" w:hAnsiTheme="minorHAnsi" w:cs="Arial"/>
          <w:sz w:val="22"/>
          <w:szCs w:val="22"/>
        </w:rPr>
        <w:tab/>
        <w:t>stlačený zemní plyn</w:t>
      </w:r>
    </w:p>
    <w:p w14:paraId="622C0A40" w14:textId="09A75BCC" w:rsidR="00863FF7" w:rsidRDefault="00863FF7" w:rsidP="00C26CA6">
      <w:pPr>
        <w:spacing w:after="120"/>
        <w:jc w:val="both"/>
        <w:rPr>
          <w:rFonts w:asciiTheme="minorHAnsi" w:hAnsiTheme="minorHAnsi" w:cs="Arial"/>
          <w:sz w:val="22"/>
          <w:szCs w:val="22"/>
        </w:rPr>
      </w:pPr>
      <w:r>
        <w:rPr>
          <w:rFonts w:asciiTheme="minorHAnsi" w:hAnsiTheme="minorHAnsi" w:cs="Arial"/>
          <w:sz w:val="22"/>
          <w:szCs w:val="22"/>
        </w:rPr>
        <w:t>COST</w:t>
      </w:r>
      <w:r>
        <w:rPr>
          <w:rFonts w:asciiTheme="minorHAnsi" w:hAnsiTheme="minorHAnsi" w:cs="Arial"/>
          <w:sz w:val="22"/>
          <w:szCs w:val="22"/>
        </w:rPr>
        <w:tab/>
      </w:r>
      <w:r>
        <w:rPr>
          <w:rFonts w:asciiTheme="minorHAnsi" w:hAnsiTheme="minorHAnsi" w:cs="Arial"/>
          <w:sz w:val="22"/>
          <w:szCs w:val="22"/>
        </w:rPr>
        <w:tab/>
      </w:r>
      <w:r w:rsidRPr="00863FF7">
        <w:rPr>
          <w:rFonts w:asciiTheme="minorHAnsi" w:hAnsiTheme="minorHAnsi" w:cs="Arial"/>
          <w:sz w:val="22"/>
          <w:szCs w:val="22"/>
        </w:rPr>
        <w:t>Evropská spolupráce ve vědeckém a technickém výzkumu</w:t>
      </w:r>
    </w:p>
    <w:p w14:paraId="6BCCB2D8"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ČR</w:t>
      </w:r>
      <w:r w:rsidRPr="00C26CA6">
        <w:rPr>
          <w:rFonts w:asciiTheme="minorHAnsi" w:hAnsiTheme="minorHAnsi" w:cs="Arial"/>
          <w:sz w:val="22"/>
          <w:szCs w:val="22"/>
        </w:rPr>
        <w:tab/>
      </w:r>
      <w:r w:rsidRPr="00C26CA6">
        <w:rPr>
          <w:rFonts w:asciiTheme="minorHAnsi" w:hAnsiTheme="minorHAnsi" w:cs="Arial"/>
          <w:sz w:val="22"/>
          <w:szCs w:val="22"/>
        </w:rPr>
        <w:tab/>
        <w:t>Česká republika</w:t>
      </w:r>
    </w:p>
    <w:p w14:paraId="397A2624" w14:textId="1E1615C3" w:rsidR="00A12E55" w:rsidRDefault="00A12E55" w:rsidP="00C26CA6">
      <w:pPr>
        <w:spacing w:after="120"/>
        <w:jc w:val="both"/>
        <w:rPr>
          <w:rFonts w:asciiTheme="minorHAnsi" w:hAnsiTheme="minorHAnsi" w:cs="Arial"/>
          <w:sz w:val="22"/>
          <w:szCs w:val="22"/>
        </w:rPr>
      </w:pPr>
      <w:r>
        <w:rPr>
          <w:rFonts w:asciiTheme="minorHAnsi" w:hAnsiTheme="minorHAnsi" w:cs="Arial"/>
          <w:sz w:val="22"/>
          <w:szCs w:val="22"/>
        </w:rPr>
        <w:t>DR</w:t>
      </w:r>
      <w:r>
        <w:rPr>
          <w:rFonts w:asciiTheme="minorHAnsi" w:hAnsiTheme="minorHAnsi" w:cs="Arial"/>
          <w:sz w:val="22"/>
          <w:szCs w:val="22"/>
        </w:rPr>
        <w:tab/>
      </w:r>
      <w:r>
        <w:rPr>
          <w:rFonts w:asciiTheme="minorHAnsi" w:hAnsiTheme="minorHAnsi" w:cs="Arial"/>
          <w:sz w:val="22"/>
          <w:szCs w:val="22"/>
        </w:rPr>
        <w:tab/>
        <w:t>dozorčí rada</w:t>
      </w:r>
    </w:p>
    <w:p w14:paraId="26F5EEE6" w14:textId="77777777" w:rsid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DZ</w:t>
      </w:r>
      <w:r w:rsidRPr="00C26CA6">
        <w:rPr>
          <w:rFonts w:asciiTheme="minorHAnsi" w:hAnsiTheme="minorHAnsi" w:cs="Arial"/>
          <w:sz w:val="22"/>
          <w:szCs w:val="22"/>
        </w:rPr>
        <w:tab/>
      </w:r>
      <w:r w:rsidRPr="00C26CA6">
        <w:rPr>
          <w:rFonts w:asciiTheme="minorHAnsi" w:hAnsiTheme="minorHAnsi" w:cs="Arial"/>
          <w:sz w:val="22"/>
          <w:szCs w:val="22"/>
        </w:rPr>
        <w:tab/>
        <w:t>druhotné zdroje energie</w:t>
      </w:r>
    </w:p>
    <w:p w14:paraId="4F49E5AD" w14:textId="0A59ADD7" w:rsidR="003F0670" w:rsidRPr="00C26CA6" w:rsidRDefault="003F0670" w:rsidP="00C26CA6">
      <w:pPr>
        <w:spacing w:after="120"/>
        <w:jc w:val="both"/>
        <w:rPr>
          <w:rFonts w:asciiTheme="minorHAnsi" w:hAnsiTheme="minorHAnsi" w:cs="Arial"/>
          <w:sz w:val="22"/>
          <w:szCs w:val="22"/>
        </w:rPr>
      </w:pPr>
      <w:r>
        <w:rPr>
          <w:rFonts w:asciiTheme="minorHAnsi" w:hAnsiTheme="minorHAnsi" w:cs="Arial"/>
          <w:sz w:val="22"/>
          <w:szCs w:val="22"/>
        </w:rPr>
        <w:t>ECSEL</w:t>
      </w:r>
      <w:r>
        <w:rPr>
          <w:rFonts w:asciiTheme="minorHAnsi" w:hAnsiTheme="minorHAnsi" w:cs="Arial"/>
          <w:sz w:val="22"/>
          <w:szCs w:val="22"/>
        </w:rPr>
        <w:tab/>
      </w:r>
      <w:r>
        <w:rPr>
          <w:rFonts w:asciiTheme="minorHAnsi" w:hAnsiTheme="minorHAnsi" w:cs="Arial"/>
          <w:sz w:val="22"/>
          <w:szCs w:val="22"/>
        </w:rPr>
        <w:tab/>
      </w:r>
      <w:proofErr w:type="spellStart"/>
      <w:r w:rsidRPr="003F0670">
        <w:rPr>
          <w:rFonts w:asciiTheme="minorHAnsi" w:hAnsiTheme="minorHAnsi" w:cs="Arial"/>
          <w:sz w:val="22"/>
          <w:szCs w:val="22"/>
        </w:rPr>
        <w:t>Electronic</w:t>
      </w:r>
      <w:proofErr w:type="spellEnd"/>
      <w:r w:rsidRPr="003F0670">
        <w:rPr>
          <w:rFonts w:asciiTheme="minorHAnsi" w:hAnsiTheme="minorHAnsi" w:cs="Arial"/>
          <w:sz w:val="22"/>
          <w:szCs w:val="22"/>
        </w:rPr>
        <w:t xml:space="preserve"> </w:t>
      </w:r>
      <w:proofErr w:type="spellStart"/>
      <w:r w:rsidRPr="003F0670">
        <w:rPr>
          <w:rFonts w:asciiTheme="minorHAnsi" w:hAnsiTheme="minorHAnsi" w:cs="Arial"/>
          <w:sz w:val="22"/>
          <w:szCs w:val="22"/>
        </w:rPr>
        <w:t>Components</w:t>
      </w:r>
      <w:proofErr w:type="spellEnd"/>
      <w:r w:rsidRPr="003F0670">
        <w:rPr>
          <w:rFonts w:asciiTheme="minorHAnsi" w:hAnsiTheme="minorHAnsi" w:cs="Arial"/>
          <w:sz w:val="22"/>
          <w:szCs w:val="22"/>
        </w:rPr>
        <w:t xml:space="preserve"> and Systems </w:t>
      </w:r>
      <w:proofErr w:type="spellStart"/>
      <w:r w:rsidRPr="003F0670">
        <w:rPr>
          <w:rFonts w:asciiTheme="minorHAnsi" w:hAnsiTheme="minorHAnsi" w:cs="Arial"/>
          <w:sz w:val="22"/>
          <w:szCs w:val="22"/>
        </w:rPr>
        <w:t>for</w:t>
      </w:r>
      <w:proofErr w:type="spellEnd"/>
      <w:r w:rsidRPr="003F0670">
        <w:rPr>
          <w:rFonts w:asciiTheme="minorHAnsi" w:hAnsiTheme="minorHAnsi" w:cs="Arial"/>
          <w:sz w:val="22"/>
          <w:szCs w:val="22"/>
        </w:rPr>
        <w:t xml:space="preserve"> </w:t>
      </w:r>
      <w:proofErr w:type="spellStart"/>
      <w:r w:rsidRPr="003F0670">
        <w:rPr>
          <w:rFonts w:asciiTheme="minorHAnsi" w:hAnsiTheme="minorHAnsi" w:cs="Arial"/>
          <w:sz w:val="22"/>
          <w:szCs w:val="22"/>
        </w:rPr>
        <w:t>European</w:t>
      </w:r>
      <w:proofErr w:type="spellEnd"/>
      <w:r w:rsidRPr="003F0670">
        <w:rPr>
          <w:rFonts w:asciiTheme="minorHAnsi" w:hAnsiTheme="minorHAnsi" w:cs="Arial"/>
          <w:sz w:val="22"/>
          <w:szCs w:val="22"/>
        </w:rPr>
        <w:t xml:space="preserve"> </w:t>
      </w:r>
      <w:proofErr w:type="spellStart"/>
      <w:r w:rsidRPr="003F0670">
        <w:rPr>
          <w:rFonts w:asciiTheme="minorHAnsi" w:hAnsiTheme="minorHAnsi" w:cs="Arial"/>
          <w:sz w:val="22"/>
          <w:szCs w:val="22"/>
        </w:rPr>
        <w:t>Leadership</w:t>
      </w:r>
      <w:proofErr w:type="spellEnd"/>
    </w:p>
    <w:p w14:paraId="43DAACB8" w14:textId="3B9FB64A"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EIA</w:t>
      </w:r>
      <w:r w:rsidRPr="00C26CA6">
        <w:rPr>
          <w:rFonts w:asciiTheme="minorHAnsi" w:hAnsiTheme="minorHAnsi" w:cs="Arial"/>
          <w:sz w:val="22"/>
          <w:szCs w:val="22"/>
        </w:rPr>
        <w:tab/>
      </w:r>
      <w:r w:rsidRPr="00C26CA6">
        <w:rPr>
          <w:rFonts w:asciiTheme="minorHAnsi" w:hAnsiTheme="minorHAnsi" w:cs="Arial"/>
          <w:sz w:val="22"/>
          <w:szCs w:val="22"/>
        </w:rPr>
        <w:tab/>
        <w:t>Vyhodnocení vlivů na životní prostředí</w:t>
      </w:r>
    </w:p>
    <w:p w14:paraId="3720ED67" w14:textId="6DE8CD06"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EK</w:t>
      </w:r>
      <w:r w:rsidRPr="00C26CA6">
        <w:rPr>
          <w:rFonts w:asciiTheme="minorHAnsi" w:hAnsiTheme="minorHAnsi" w:cs="Arial"/>
          <w:sz w:val="22"/>
          <w:szCs w:val="22"/>
        </w:rPr>
        <w:tab/>
      </w:r>
      <w:r>
        <w:rPr>
          <w:rFonts w:asciiTheme="minorHAnsi" w:hAnsiTheme="minorHAnsi" w:cs="Arial"/>
          <w:sz w:val="22"/>
          <w:szCs w:val="22"/>
        </w:rPr>
        <w:tab/>
      </w:r>
      <w:r w:rsidRPr="00C26CA6">
        <w:rPr>
          <w:rFonts w:asciiTheme="minorHAnsi" w:hAnsiTheme="minorHAnsi" w:cs="Arial"/>
          <w:sz w:val="22"/>
          <w:szCs w:val="22"/>
        </w:rPr>
        <w:t>Evropská komise</w:t>
      </w:r>
    </w:p>
    <w:p w14:paraId="4DC0F112" w14:textId="614995C3" w:rsidR="00863FF7" w:rsidRDefault="00863FF7" w:rsidP="00C26CA6">
      <w:pPr>
        <w:spacing w:after="120"/>
        <w:ind w:left="1410" w:hanging="1410"/>
        <w:jc w:val="both"/>
        <w:rPr>
          <w:rFonts w:asciiTheme="minorHAnsi" w:hAnsiTheme="minorHAnsi" w:cs="Arial"/>
          <w:sz w:val="22"/>
          <w:szCs w:val="22"/>
        </w:rPr>
      </w:pPr>
      <w:r>
        <w:rPr>
          <w:rFonts w:asciiTheme="minorHAnsi" w:hAnsiTheme="minorHAnsi" w:cs="Arial"/>
          <w:sz w:val="22"/>
          <w:szCs w:val="22"/>
        </w:rPr>
        <w:t>EMPIR</w:t>
      </w:r>
      <w:r>
        <w:rPr>
          <w:rFonts w:asciiTheme="minorHAnsi" w:hAnsiTheme="minorHAnsi" w:cs="Arial"/>
          <w:sz w:val="22"/>
          <w:szCs w:val="22"/>
        </w:rPr>
        <w:tab/>
      </w:r>
      <w:r w:rsidRPr="00863FF7">
        <w:rPr>
          <w:rFonts w:asciiTheme="minorHAnsi" w:hAnsiTheme="minorHAnsi" w:cs="Arial"/>
          <w:sz w:val="22"/>
          <w:szCs w:val="22"/>
        </w:rPr>
        <w:t>Evropský metrologický pr</w:t>
      </w:r>
      <w:r>
        <w:rPr>
          <w:rFonts w:asciiTheme="minorHAnsi" w:hAnsiTheme="minorHAnsi" w:cs="Arial"/>
          <w:sz w:val="22"/>
          <w:szCs w:val="22"/>
        </w:rPr>
        <w:t>ogram pro inovace a výzkum</w:t>
      </w:r>
    </w:p>
    <w:p w14:paraId="05406B1A" w14:textId="01AF3E5F" w:rsidR="00C26CA6" w:rsidRPr="00C26CA6" w:rsidRDefault="00C26CA6" w:rsidP="00C26CA6">
      <w:pPr>
        <w:spacing w:after="120"/>
        <w:ind w:left="1410" w:hanging="1410"/>
        <w:jc w:val="both"/>
        <w:rPr>
          <w:rFonts w:asciiTheme="minorHAnsi" w:hAnsiTheme="minorHAnsi" w:cs="Arial"/>
          <w:sz w:val="22"/>
          <w:szCs w:val="22"/>
        </w:rPr>
      </w:pPr>
      <w:r w:rsidRPr="00C26CA6">
        <w:rPr>
          <w:rFonts w:asciiTheme="minorHAnsi" w:hAnsiTheme="minorHAnsi" w:cs="Arial"/>
          <w:sz w:val="22"/>
          <w:szCs w:val="22"/>
        </w:rPr>
        <w:t>ENTSO-E</w:t>
      </w:r>
      <w:r w:rsidRPr="00C26CA6">
        <w:rPr>
          <w:rFonts w:asciiTheme="minorHAnsi" w:hAnsiTheme="minorHAnsi" w:cs="Arial"/>
          <w:sz w:val="22"/>
          <w:szCs w:val="22"/>
        </w:rPr>
        <w:tab/>
        <w:t xml:space="preserve">Evropská síť provozovatelů </w:t>
      </w:r>
      <w:r w:rsidR="003933C8" w:rsidRPr="003933C8">
        <w:rPr>
          <w:rFonts w:asciiTheme="minorHAnsi" w:hAnsiTheme="minorHAnsi" w:cs="Arial"/>
          <w:sz w:val="22"/>
          <w:szCs w:val="22"/>
        </w:rPr>
        <w:t>elektroenergetických</w:t>
      </w:r>
      <w:r w:rsidR="003933C8">
        <w:rPr>
          <w:rFonts w:asciiTheme="minorHAnsi" w:hAnsiTheme="minorHAnsi" w:cs="Arial"/>
          <w:sz w:val="22"/>
          <w:szCs w:val="22"/>
        </w:rPr>
        <w:t xml:space="preserve"> </w:t>
      </w:r>
      <w:r w:rsidRPr="00C26CA6">
        <w:rPr>
          <w:rFonts w:asciiTheme="minorHAnsi" w:hAnsiTheme="minorHAnsi" w:cs="Arial"/>
          <w:sz w:val="22"/>
          <w:szCs w:val="22"/>
        </w:rPr>
        <w:t>přenosových soustav</w:t>
      </w:r>
    </w:p>
    <w:p w14:paraId="13598064" w14:textId="65DC5EB9"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EPC</w:t>
      </w:r>
      <w:r w:rsidRPr="00C26CA6">
        <w:rPr>
          <w:rFonts w:asciiTheme="minorHAnsi" w:hAnsiTheme="minorHAnsi" w:cs="Arial"/>
          <w:sz w:val="22"/>
          <w:szCs w:val="22"/>
        </w:rPr>
        <w:tab/>
      </w:r>
      <w:r w:rsidRPr="00C26CA6">
        <w:rPr>
          <w:rFonts w:asciiTheme="minorHAnsi" w:hAnsiTheme="minorHAnsi" w:cs="Arial"/>
          <w:sz w:val="22"/>
          <w:szCs w:val="22"/>
        </w:rPr>
        <w:tab/>
        <w:t>energetické služby se zárukou</w:t>
      </w:r>
    </w:p>
    <w:p w14:paraId="6B9F3BCA"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ERÚ</w:t>
      </w:r>
      <w:r w:rsidRPr="00C26CA6">
        <w:rPr>
          <w:rFonts w:asciiTheme="minorHAnsi" w:hAnsiTheme="minorHAnsi" w:cs="Arial"/>
          <w:sz w:val="22"/>
          <w:szCs w:val="22"/>
        </w:rPr>
        <w:tab/>
      </w:r>
      <w:r w:rsidRPr="00C26CA6">
        <w:rPr>
          <w:rFonts w:asciiTheme="minorHAnsi" w:hAnsiTheme="minorHAnsi" w:cs="Arial"/>
          <w:sz w:val="22"/>
          <w:szCs w:val="22"/>
        </w:rPr>
        <w:tab/>
        <w:t>Energetický regulační úřad</w:t>
      </w:r>
    </w:p>
    <w:p w14:paraId="56C5AED1"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ES</w:t>
      </w:r>
      <w:r w:rsidRPr="00C26CA6">
        <w:rPr>
          <w:rFonts w:asciiTheme="minorHAnsi" w:hAnsiTheme="minorHAnsi" w:cs="Arial"/>
          <w:sz w:val="22"/>
          <w:szCs w:val="22"/>
        </w:rPr>
        <w:tab/>
      </w:r>
      <w:r w:rsidRPr="00C26CA6">
        <w:rPr>
          <w:rFonts w:asciiTheme="minorHAnsi" w:hAnsiTheme="minorHAnsi" w:cs="Arial"/>
          <w:sz w:val="22"/>
          <w:szCs w:val="22"/>
        </w:rPr>
        <w:tab/>
        <w:t>Energetické společenství</w:t>
      </w:r>
    </w:p>
    <w:p w14:paraId="78D05A45"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ESIF</w:t>
      </w:r>
      <w:r w:rsidRPr="00C26CA6">
        <w:rPr>
          <w:rFonts w:asciiTheme="minorHAnsi" w:hAnsiTheme="minorHAnsi" w:cs="Arial"/>
          <w:sz w:val="22"/>
          <w:szCs w:val="22"/>
        </w:rPr>
        <w:tab/>
      </w:r>
      <w:r w:rsidRPr="00C26CA6">
        <w:rPr>
          <w:rFonts w:asciiTheme="minorHAnsi" w:hAnsiTheme="minorHAnsi" w:cs="Arial"/>
          <w:sz w:val="22"/>
          <w:szCs w:val="22"/>
        </w:rPr>
        <w:tab/>
        <w:t>Evropské strukturální a investiční fondy</w:t>
      </w:r>
    </w:p>
    <w:p w14:paraId="6C23FACE"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EU</w:t>
      </w:r>
      <w:r w:rsidRPr="00C26CA6">
        <w:rPr>
          <w:rFonts w:asciiTheme="minorHAnsi" w:hAnsiTheme="minorHAnsi" w:cs="Arial"/>
          <w:sz w:val="22"/>
          <w:szCs w:val="22"/>
        </w:rPr>
        <w:tab/>
      </w:r>
      <w:r w:rsidRPr="00C26CA6">
        <w:rPr>
          <w:rFonts w:asciiTheme="minorHAnsi" w:hAnsiTheme="minorHAnsi" w:cs="Arial"/>
          <w:sz w:val="22"/>
          <w:szCs w:val="22"/>
        </w:rPr>
        <w:tab/>
        <w:t>Evropská unie</w:t>
      </w:r>
    </w:p>
    <w:p w14:paraId="3B59A6D9" w14:textId="517BF44F" w:rsid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EU ETS</w:t>
      </w:r>
      <w:r w:rsidRPr="00C26CA6">
        <w:rPr>
          <w:rFonts w:asciiTheme="minorHAnsi" w:hAnsiTheme="minorHAnsi" w:cs="Arial"/>
          <w:sz w:val="22"/>
          <w:szCs w:val="22"/>
        </w:rPr>
        <w:tab/>
      </w:r>
      <w:r w:rsidRPr="00C26CA6">
        <w:rPr>
          <w:rFonts w:asciiTheme="minorHAnsi" w:hAnsiTheme="minorHAnsi" w:cs="Arial"/>
          <w:sz w:val="22"/>
          <w:szCs w:val="22"/>
        </w:rPr>
        <w:tab/>
        <w:t>Systém emisního obchodování Evropské unie</w:t>
      </w:r>
    </w:p>
    <w:p w14:paraId="528D6575" w14:textId="04BBDFD8" w:rsidR="00B13B77" w:rsidRPr="00C26CA6" w:rsidRDefault="00B13B77" w:rsidP="00C26CA6">
      <w:pPr>
        <w:spacing w:after="120"/>
        <w:jc w:val="both"/>
        <w:rPr>
          <w:rFonts w:asciiTheme="minorHAnsi" w:hAnsiTheme="minorHAnsi" w:cs="Arial"/>
          <w:sz w:val="22"/>
          <w:szCs w:val="22"/>
        </w:rPr>
      </w:pPr>
      <w:r>
        <w:rPr>
          <w:rFonts w:asciiTheme="minorHAnsi" w:hAnsiTheme="minorHAnsi" w:cs="Arial"/>
          <w:sz w:val="22"/>
          <w:szCs w:val="22"/>
        </w:rPr>
        <w:t>FID</w:t>
      </w:r>
      <w:r>
        <w:rPr>
          <w:rFonts w:asciiTheme="minorHAnsi" w:hAnsiTheme="minorHAnsi" w:cs="Arial"/>
          <w:sz w:val="22"/>
          <w:szCs w:val="22"/>
        </w:rPr>
        <w:tab/>
      </w:r>
      <w:r>
        <w:rPr>
          <w:rFonts w:asciiTheme="minorHAnsi" w:hAnsiTheme="minorHAnsi" w:cs="Arial"/>
          <w:sz w:val="22"/>
          <w:szCs w:val="22"/>
        </w:rPr>
        <w:tab/>
      </w:r>
      <w:r w:rsidRPr="00B13B77">
        <w:rPr>
          <w:rFonts w:asciiTheme="minorHAnsi" w:hAnsiTheme="minorHAnsi" w:cs="Arial"/>
          <w:sz w:val="22"/>
          <w:szCs w:val="22"/>
        </w:rPr>
        <w:t>finální investiční rozhodnutí</w:t>
      </w:r>
    </w:p>
    <w:p w14:paraId="7962AFF7" w14:textId="260C2B2E"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IEA</w:t>
      </w:r>
      <w:r w:rsidRPr="00C26CA6">
        <w:rPr>
          <w:rFonts w:asciiTheme="minorHAnsi" w:hAnsiTheme="minorHAnsi" w:cs="Arial"/>
          <w:sz w:val="22"/>
          <w:szCs w:val="22"/>
        </w:rPr>
        <w:tab/>
      </w:r>
      <w:r w:rsidRPr="00C26CA6">
        <w:rPr>
          <w:rFonts w:asciiTheme="minorHAnsi" w:hAnsiTheme="minorHAnsi" w:cs="Arial"/>
          <w:sz w:val="22"/>
          <w:szCs w:val="22"/>
        </w:rPr>
        <w:tab/>
        <w:t>Mezinárodní energetická agentura</w:t>
      </w:r>
    </w:p>
    <w:p w14:paraId="5A058E77" w14:textId="4AB2D6BD"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IEF</w:t>
      </w:r>
      <w:r w:rsidRPr="00C26CA6">
        <w:rPr>
          <w:rFonts w:asciiTheme="minorHAnsi" w:hAnsiTheme="minorHAnsi" w:cs="Arial"/>
          <w:sz w:val="22"/>
          <w:szCs w:val="22"/>
        </w:rPr>
        <w:tab/>
      </w:r>
      <w:r w:rsidRPr="00C26CA6">
        <w:rPr>
          <w:rFonts w:asciiTheme="minorHAnsi" w:hAnsiTheme="minorHAnsi" w:cs="Arial"/>
          <w:sz w:val="22"/>
          <w:szCs w:val="22"/>
        </w:rPr>
        <w:tab/>
        <w:t>Mezinárodní energetické fórum</w:t>
      </w:r>
    </w:p>
    <w:p w14:paraId="22374F43"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IROP</w:t>
      </w:r>
      <w:r w:rsidRPr="00C26CA6">
        <w:rPr>
          <w:rFonts w:asciiTheme="minorHAnsi" w:hAnsiTheme="minorHAnsi" w:cs="Arial"/>
          <w:sz w:val="22"/>
          <w:szCs w:val="22"/>
        </w:rPr>
        <w:tab/>
      </w:r>
      <w:r w:rsidRPr="00C26CA6">
        <w:rPr>
          <w:rFonts w:asciiTheme="minorHAnsi" w:hAnsiTheme="minorHAnsi" w:cs="Arial"/>
          <w:sz w:val="22"/>
          <w:szCs w:val="22"/>
        </w:rPr>
        <w:tab/>
        <w:t>Integrovaný regionální operační program</w:t>
      </w:r>
    </w:p>
    <w:p w14:paraId="0A4D151A" w14:textId="77777777" w:rsidR="003933C8" w:rsidRDefault="003933C8" w:rsidP="003933C8">
      <w:pPr>
        <w:spacing w:after="120"/>
        <w:jc w:val="both"/>
        <w:rPr>
          <w:rFonts w:asciiTheme="minorHAnsi" w:hAnsiTheme="minorHAnsi" w:cs="Arial"/>
          <w:sz w:val="22"/>
          <w:szCs w:val="22"/>
        </w:rPr>
      </w:pPr>
      <w:r>
        <w:rPr>
          <w:rFonts w:asciiTheme="minorHAnsi" w:hAnsiTheme="minorHAnsi" w:cs="Arial"/>
          <w:sz w:val="22"/>
          <w:szCs w:val="22"/>
        </w:rPr>
        <w:t>Kč</w:t>
      </w:r>
      <w:r>
        <w:rPr>
          <w:rFonts w:asciiTheme="minorHAnsi" w:hAnsiTheme="minorHAnsi" w:cs="Arial"/>
          <w:sz w:val="22"/>
          <w:szCs w:val="22"/>
        </w:rPr>
        <w:tab/>
      </w:r>
      <w:r>
        <w:rPr>
          <w:rFonts w:asciiTheme="minorHAnsi" w:hAnsiTheme="minorHAnsi" w:cs="Arial"/>
          <w:sz w:val="22"/>
          <w:szCs w:val="22"/>
        </w:rPr>
        <w:tab/>
        <w:t>koruna česká</w:t>
      </w:r>
    </w:p>
    <w:p w14:paraId="3EE8839F"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KVET</w:t>
      </w:r>
      <w:r w:rsidRPr="00C26CA6">
        <w:rPr>
          <w:rFonts w:asciiTheme="minorHAnsi" w:hAnsiTheme="minorHAnsi" w:cs="Arial"/>
          <w:sz w:val="22"/>
          <w:szCs w:val="22"/>
        </w:rPr>
        <w:tab/>
      </w:r>
      <w:r w:rsidRPr="00C26CA6">
        <w:rPr>
          <w:rFonts w:asciiTheme="minorHAnsi" w:hAnsiTheme="minorHAnsi" w:cs="Arial"/>
          <w:sz w:val="22"/>
          <w:szCs w:val="22"/>
        </w:rPr>
        <w:tab/>
        <w:t>kombinovaná výroba elektrické a tepelné energie</w:t>
      </w:r>
    </w:p>
    <w:p w14:paraId="790E5322" w14:textId="6D3EAB18"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LNG</w:t>
      </w:r>
      <w:r w:rsidRPr="00C26CA6">
        <w:rPr>
          <w:rFonts w:asciiTheme="minorHAnsi" w:hAnsiTheme="minorHAnsi" w:cs="Arial"/>
          <w:sz w:val="22"/>
          <w:szCs w:val="22"/>
        </w:rPr>
        <w:tab/>
      </w:r>
      <w:r w:rsidRPr="00C26CA6">
        <w:rPr>
          <w:rFonts w:asciiTheme="minorHAnsi" w:hAnsiTheme="minorHAnsi" w:cs="Arial"/>
          <w:sz w:val="22"/>
          <w:szCs w:val="22"/>
        </w:rPr>
        <w:tab/>
        <w:t>zkapalněný zemní plyn</w:t>
      </w:r>
    </w:p>
    <w:p w14:paraId="35984087"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MD</w:t>
      </w:r>
      <w:r w:rsidRPr="00C26CA6">
        <w:rPr>
          <w:rFonts w:asciiTheme="minorHAnsi" w:hAnsiTheme="minorHAnsi" w:cs="Arial"/>
          <w:sz w:val="22"/>
          <w:szCs w:val="22"/>
        </w:rPr>
        <w:tab/>
      </w:r>
      <w:r w:rsidRPr="00C26CA6">
        <w:rPr>
          <w:rFonts w:asciiTheme="minorHAnsi" w:hAnsiTheme="minorHAnsi" w:cs="Arial"/>
          <w:sz w:val="22"/>
          <w:szCs w:val="22"/>
        </w:rPr>
        <w:tab/>
        <w:t>Ministerstvo dopravy</w:t>
      </w:r>
    </w:p>
    <w:p w14:paraId="2CF05A94"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MF</w:t>
      </w:r>
      <w:r w:rsidRPr="00C26CA6">
        <w:rPr>
          <w:rFonts w:asciiTheme="minorHAnsi" w:hAnsiTheme="minorHAnsi" w:cs="Arial"/>
          <w:sz w:val="22"/>
          <w:szCs w:val="22"/>
        </w:rPr>
        <w:tab/>
      </w:r>
      <w:r w:rsidRPr="00C26CA6">
        <w:rPr>
          <w:rFonts w:asciiTheme="minorHAnsi" w:hAnsiTheme="minorHAnsi" w:cs="Arial"/>
          <w:sz w:val="22"/>
          <w:szCs w:val="22"/>
        </w:rPr>
        <w:tab/>
        <w:t>Ministerstvo financí</w:t>
      </w:r>
    </w:p>
    <w:p w14:paraId="1BCFA9F2"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MMR</w:t>
      </w:r>
      <w:r w:rsidRPr="00C26CA6">
        <w:rPr>
          <w:rFonts w:asciiTheme="minorHAnsi" w:hAnsiTheme="minorHAnsi" w:cs="Arial"/>
          <w:sz w:val="22"/>
          <w:szCs w:val="22"/>
        </w:rPr>
        <w:tab/>
      </w:r>
      <w:r w:rsidRPr="00C26CA6">
        <w:rPr>
          <w:rFonts w:asciiTheme="minorHAnsi" w:hAnsiTheme="minorHAnsi" w:cs="Arial"/>
          <w:sz w:val="22"/>
          <w:szCs w:val="22"/>
        </w:rPr>
        <w:tab/>
        <w:t>Ministerstvo pro místní rozvoj</w:t>
      </w:r>
    </w:p>
    <w:p w14:paraId="08B77C03"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MPO</w:t>
      </w:r>
      <w:r w:rsidRPr="00C26CA6">
        <w:rPr>
          <w:rFonts w:asciiTheme="minorHAnsi" w:hAnsiTheme="minorHAnsi" w:cs="Arial"/>
          <w:sz w:val="22"/>
          <w:szCs w:val="22"/>
        </w:rPr>
        <w:tab/>
      </w:r>
      <w:r w:rsidRPr="00C26CA6">
        <w:rPr>
          <w:rFonts w:asciiTheme="minorHAnsi" w:hAnsiTheme="minorHAnsi" w:cs="Arial"/>
          <w:sz w:val="22"/>
          <w:szCs w:val="22"/>
        </w:rPr>
        <w:tab/>
        <w:t>Ministerstvo průmyslu a obchodu</w:t>
      </w:r>
    </w:p>
    <w:p w14:paraId="021D436E"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MŠMT</w:t>
      </w:r>
      <w:r w:rsidRPr="00C26CA6">
        <w:rPr>
          <w:rFonts w:asciiTheme="minorHAnsi" w:hAnsiTheme="minorHAnsi" w:cs="Arial"/>
          <w:sz w:val="22"/>
          <w:szCs w:val="22"/>
        </w:rPr>
        <w:tab/>
      </w:r>
      <w:r w:rsidRPr="00C26CA6">
        <w:rPr>
          <w:rFonts w:asciiTheme="minorHAnsi" w:hAnsiTheme="minorHAnsi" w:cs="Arial"/>
          <w:sz w:val="22"/>
          <w:szCs w:val="22"/>
        </w:rPr>
        <w:tab/>
        <w:t>Ministerstvo školství, mládeže a tělovýchovy</w:t>
      </w:r>
    </w:p>
    <w:p w14:paraId="37B07940" w14:textId="02C8321D" w:rsidR="00C26CA6" w:rsidRPr="00C26CA6" w:rsidRDefault="00C26CA6" w:rsidP="00C26CA6">
      <w:pPr>
        <w:spacing w:after="120"/>
        <w:jc w:val="both"/>
        <w:rPr>
          <w:rFonts w:asciiTheme="minorHAnsi" w:hAnsiTheme="minorHAnsi" w:cs="Arial"/>
          <w:sz w:val="22"/>
          <w:szCs w:val="22"/>
        </w:rPr>
      </w:pPr>
      <w:proofErr w:type="spellStart"/>
      <w:r w:rsidRPr="00C26CA6">
        <w:rPr>
          <w:rFonts w:asciiTheme="minorHAnsi" w:hAnsiTheme="minorHAnsi" w:cs="Arial"/>
          <w:sz w:val="22"/>
          <w:szCs w:val="22"/>
        </w:rPr>
        <w:lastRenderedPageBreak/>
        <w:t>Mtoe</w:t>
      </w:r>
      <w:proofErr w:type="spellEnd"/>
      <w:r w:rsidRPr="00C26CA6">
        <w:rPr>
          <w:rFonts w:asciiTheme="minorHAnsi" w:hAnsiTheme="minorHAnsi" w:cs="Arial"/>
          <w:sz w:val="22"/>
          <w:szCs w:val="22"/>
        </w:rPr>
        <w:tab/>
      </w:r>
      <w:r w:rsidRPr="00C26CA6">
        <w:rPr>
          <w:rFonts w:asciiTheme="minorHAnsi" w:hAnsiTheme="minorHAnsi" w:cs="Arial"/>
          <w:sz w:val="22"/>
          <w:szCs w:val="22"/>
        </w:rPr>
        <w:tab/>
        <w:t>milion tun ropného ekvivalentu</w:t>
      </w:r>
    </w:p>
    <w:p w14:paraId="08285F20"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MV</w:t>
      </w:r>
      <w:r w:rsidRPr="00C26CA6">
        <w:rPr>
          <w:rFonts w:asciiTheme="minorHAnsi" w:hAnsiTheme="minorHAnsi" w:cs="Arial"/>
          <w:sz w:val="22"/>
          <w:szCs w:val="22"/>
        </w:rPr>
        <w:tab/>
      </w:r>
      <w:r w:rsidRPr="00C26CA6">
        <w:rPr>
          <w:rFonts w:asciiTheme="minorHAnsi" w:hAnsiTheme="minorHAnsi" w:cs="Arial"/>
          <w:sz w:val="22"/>
          <w:szCs w:val="22"/>
        </w:rPr>
        <w:tab/>
        <w:t>Ministerstvo vnitra</w:t>
      </w:r>
    </w:p>
    <w:p w14:paraId="0FD61510" w14:textId="77777777" w:rsidR="00C26CA6" w:rsidRPr="00C26CA6" w:rsidRDefault="00C26CA6" w:rsidP="00C26CA6">
      <w:pPr>
        <w:spacing w:after="120"/>
        <w:jc w:val="both"/>
        <w:rPr>
          <w:rFonts w:asciiTheme="minorHAnsi" w:hAnsiTheme="minorHAnsi" w:cs="Arial"/>
          <w:sz w:val="22"/>
          <w:szCs w:val="22"/>
        </w:rPr>
      </w:pPr>
      <w:proofErr w:type="spellStart"/>
      <w:r w:rsidRPr="00C26CA6">
        <w:rPr>
          <w:rFonts w:asciiTheme="minorHAnsi" w:hAnsiTheme="minorHAnsi" w:cs="Arial"/>
          <w:sz w:val="22"/>
          <w:szCs w:val="22"/>
        </w:rPr>
        <w:t>MZe</w:t>
      </w:r>
      <w:proofErr w:type="spellEnd"/>
      <w:r w:rsidRPr="00C26CA6">
        <w:rPr>
          <w:rFonts w:asciiTheme="minorHAnsi" w:hAnsiTheme="minorHAnsi" w:cs="Arial"/>
          <w:sz w:val="22"/>
          <w:szCs w:val="22"/>
        </w:rPr>
        <w:tab/>
      </w:r>
      <w:r w:rsidRPr="00C26CA6">
        <w:rPr>
          <w:rFonts w:asciiTheme="minorHAnsi" w:hAnsiTheme="minorHAnsi" w:cs="Arial"/>
          <w:sz w:val="22"/>
          <w:szCs w:val="22"/>
        </w:rPr>
        <w:tab/>
        <w:t>Ministerstvo zemědělství</w:t>
      </w:r>
    </w:p>
    <w:p w14:paraId="22F2B066"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MZV</w:t>
      </w:r>
      <w:r w:rsidRPr="00C26CA6">
        <w:rPr>
          <w:rFonts w:asciiTheme="minorHAnsi" w:hAnsiTheme="minorHAnsi" w:cs="Arial"/>
          <w:sz w:val="22"/>
          <w:szCs w:val="22"/>
        </w:rPr>
        <w:tab/>
      </w:r>
      <w:r w:rsidRPr="00C26CA6">
        <w:rPr>
          <w:rFonts w:asciiTheme="minorHAnsi" w:hAnsiTheme="minorHAnsi" w:cs="Arial"/>
          <w:sz w:val="22"/>
          <w:szCs w:val="22"/>
        </w:rPr>
        <w:tab/>
        <w:t>Ministerstvo zahraničních věcí</w:t>
      </w:r>
    </w:p>
    <w:p w14:paraId="53660BA0"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MŽP</w:t>
      </w:r>
      <w:r w:rsidRPr="00C26CA6">
        <w:rPr>
          <w:rFonts w:asciiTheme="minorHAnsi" w:hAnsiTheme="minorHAnsi" w:cs="Arial"/>
          <w:sz w:val="22"/>
          <w:szCs w:val="22"/>
        </w:rPr>
        <w:tab/>
      </w:r>
      <w:r w:rsidRPr="00C26CA6">
        <w:rPr>
          <w:rFonts w:asciiTheme="minorHAnsi" w:hAnsiTheme="minorHAnsi" w:cs="Arial"/>
          <w:sz w:val="22"/>
          <w:szCs w:val="22"/>
        </w:rPr>
        <w:tab/>
        <w:t>Ministerstvo životního prostředí</w:t>
      </w:r>
    </w:p>
    <w:p w14:paraId="0CD8D969"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NAP</w:t>
      </w:r>
      <w:r w:rsidRPr="00C26CA6">
        <w:rPr>
          <w:rFonts w:asciiTheme="minorHAnsi" w:hAnsiTheme="minorHAnsi" w:cs="Arial"/>
          <w:sz w:val="22"/>
          <w:szCs w:val="22"/>
        </w:rPr>
        <w:tab/>
      </w:r>
      <w:r w:rsidRPr="00C26CA6">
        <w:rPr>
          <w:rFonts w:asciiTheme="minorHAnsi" w:hAnsiTheme="minorHAnsi" w:cs="Arial"/>
          <w:sz w:val="22"/>
          <w:szCs w:val="22"/>
        </w:rPr>
        <w:tab/>
        <w:t>národní akční plán</w:t>
      </w:r>
    </w:p>
    <w:p w14:paraId="76195447"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NAP CM</w:t>
      </w:r>
      <w:r w:rsidRPr="00C26CA6">
        <w:rPr>
          <w:rFonts w:asciiTheme="minorHAnsi" w:hAnsiTheme="minorHAnsi" w:cs="Arial"/>
          <w:sz w:val="22"/>
          <w:szCs w:val="22"/>
        </w:rPr>
        <w:tab/>
        <w:t>Národní akční plán čisté mobility</w:t>
      </w:r>
    </w:p>
    <w:p w14:paraId="44C31E68"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NAP EE</w:t>
      </w:r>
      <w:r w:rsidRPr="00C26CA6">
        <w:rPr>
          <w:rFonts w:asciiTheme="minorHAnsi" w:hAnsiTheme="minorHAnsi" w:cs="Arial"/>
          <w:sz w:val="22"/>
          <w:szCs w:val="22"/>
        </w:rPr>
        <w:tab/>
      </w:r>
      <w:r w:rsidRPr="00C26CA6">
        <w:rPr>
          <w:rFonts w:asciiTheme="minorHAnsi" w:hAnsiTheme="minorHAnsi" w:cs="Arial"/>
          <w:sz w:val="22"/>
          <w:szCs w:val="22"/>
        </w:rPr>
        <w:tab/>
        <w:t>Národní akční plán energetické účinnosti České republiky</w:t>
      </w:r>
    </w:p>
    <w:p w14:paraId="0C7243F1"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NAP OZE</w:t>
      </w:r>
      <w:r w:rsidRPr="00C26CA6">
        <w:rPr>
          <w:rFonts w:asciiTheme="minorHAnsi" w:hAnsiTheme="minorHAnsi" w:cs="Arial"/>
          <w:sz w:val="22"/>
          <w:szCs w:val="22"/>
        </w:rPr>
        <w:tab/>
        <w:t>Národní akční plán České republiky pro energii z obnovitelných zdrojů</w:t>
      </w:r>
    </w:p>
    <w:p w14:paraId="16A524F5"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NAP SG</w:t>
      </w:r>
      <w:r w:rsidRPr="00C26CA6">
        <w:rPr>
          <w:rFonts w:asciiTheme="minorHAnsi" w:hAnsiTheme="minorHAnsi" w:cs="Arial"/>
          <w:sz w:val="22"/>
          <w:szCs w:val="22"/>
        </w:rPr>
        <w:tab/>
      </w:r>
      <w:r w:rsidRPr="00C26CA6">
        <w:rPr>
          <w:rFonts w:asciiTheme="minorHAnsi" w:hAnsiTheme="minorHAnsi" w:cs="Arial"/>
          <w:sz w:val="22"/>
          <w:szCs w:val="22"/>
        </w:rPr>
        <w:tab/>
        <w:t>Národní akční plán pro chytré sítě</w:t>
      </w:r>
    </w:p>
    <w:p w14:paraId="3067AE0B" w14:textId="099E3B18" w:rsidR="00145191" w:rsidRDefault="00145191" w:rsidP="00C26CA6">
      <w:pPr>
        <w:spacing w:after="120"/>
        <w:jc w:val="both"/>
        <w:rPr>
          <w:rFonts w:asciiTheme="minorHAnsi" w:hAnsiTheme="minorHAnsi" w:cs="Arial"/>
          <w:sz w:val="22"/>
          <w:szCs w:val="22"/>
        </w:rPr>
      </w:pPr>
      <w:r>
        <w:rPr>
          <w:rFonts w:asciiTheme="minorHAnsi" w:hAnsiTheme="minorHAnsi" w:cs="Arial"/>
          <w:sz w:val="22"/>
          <w:szCs w:val="22"/>
        </w:rPr>
        <w:t>NATO</w:t>
      </w:r>
      <w:r>
        <w:rPr>
          <w:rFonts w:asciiTheme="minorHAnsi" w:hAnsiTheme="minorHAnsi" w:cs="Arial"/>
          <w:sz w:val="22"/>
          <w:szCs w:val="22"/>
        </w:rPr>
        <w:tab/>
      </w:r>
      <w:r>
        <w:rPr>
          <w:rFonts w:asciiTheme="minorHAnsi" w:hAnsiTheme="minorHAnsi" w:cs="Arial"/>
          <w:sz w:val="22"/>
          <w:szCs w:val="22"/>
        </w:rPr>
        <w:tab/>
      </w:r>
      <w:r w:rsidRPr="00145191">
        <w:rPr>
          <w:rFonts w:asciiTheme="minorHAnsi" w:hAnsiTheme="minorHAnsi" w:cs="Arial"/>
          <w:sz w:val="22"/>
          <w:szCs w:val="22"/>
        </w:rPr>
        <w:t>Severoatlantická aliance</w:t>
      </w:r>
    </w:p>
    <w:p w14:paraId="58878B84" w14:textId="40C54B4F" w:rsid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NEEAP</w:t>
      </w:r>
      <w:r w:rsidRPr="00C26CA6">
        <w:rPr>
          <w:rFonts w:asciiTheme="minorHAnsi" w:hAnsiTheme="minorHAnsi" w:cs="Arial"/>
          <w:sz w:val="22"/>
          <w:szCs w:val="22"/>
        </w:rPr>
        <w:tab/>
      </w:r>
      <w:r w:rsidRPr="00C26CA6">
        <w:rPr>
          <w:rFonts w:asciiTheme="minorHAnsi" w:hAnsiTheme="minorHAnsi" w:cs="Arial"/>
          <w:sz w:val="22"/>
          <w:szCs w:val="22"/>
        </w:rPr>
        <w:tab/>
        <w:t>Národní akční plán energetické účinnosti</w:t>
      </w:r>
    </w:p>
    <w:p w14:paraId="0A65F07D" w14:textId="5F3FFFB0" w:rsidR="000D121B" w:rsidRPr="00C26CA6" w:rsidRDefault="000D121B" w:rsidP="00C26CA6">
      <w:pPr>
        <w:spacing w:after="120"/>
        <w:jc w:val="both"/>
        <w:rPr>
          <w:rFonts w:asciiTheme="minorHAnsi" w:hAnsiTheme="minorHAnsi" w:cs="Arial"/>
          <w:sz w:val="22"/>
          <w:szCs w:val="22"/>
        </w:rPr>
      </w:pPr>
      <w:r>
        <w:rPr>
          <w:rFonts w:asciiTheme="minorHAnsi" w:hAnsiTheme="minorHAnsi" w:cs="Arial"/>
          <w:sz w:val="22"/>
          <w:szCs w:val="22"/>
        </w:rPr>
        <w:t>NPŽP</w:t>
      </w:r>
      <w:r>
        <w:rPr>
          <w:rFonts w:asciiTheme="minorHAnsi" w:hAnsiTheme="minorHAnsi" w:cs="Arial"/>
          <w:sz w:val="22"/>
          <w:szCs w:val="22"/>
        </w:rPr>
        <w:tab/>
      </w:r>
      <w:r>
        <w:rPr>
          <w:rFonts w:asciiTheme="minorHAnsi" w:hAnsiTheme="minorHAnsi" w:cs="Arial"/>
          <w:sz w:val="22"/>
          <w:szCs w:val="22"/>
        </w:rPr>
        <w:tab/>
        <w:t>Národní program Životní prostředí</w:t>
      </w:r>
    </w:p>
    <w:p w14:paraId="63002FDA"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OP PIK</w:t>
      </w:r>
      <w:r w:rsidRPr="00C26CA6">
        <w:rPr>
          <w:rFonts w:asciiTheme="minorHAnsi" w:hAnsiTheme="minorHAnsi" w:cs="Arial"/>
          <w:sz w:val="22"/>
          <w:szCs w:val="22"/>
        </w:rPr>
        <w:tab/>
      </w:r>
      <w:r w:rsidRPr="00C26CA6">
        <w:rPr>
          <w:rFonts w:asciiTheme="minorHAnsi" w:hAnsiTheme="minorHAnsi" w:cs="Arial"/>
          <w:sz w:val="22"/>
          <w:szCs w:val="22"/>
        </w:rPr>
        <w:tab/>
        <w:t>Operační program Podnikání a inovace pro konkurenceschopnost</w:t>
      </w:r>
    </w:p>
    <w:p w14:paraId="1938A36D"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OP PPR</w:t>
      </w:r>
      <w:r w:rsidRPr="00C26CA6">
        <w:rPr>
          <w:rFonts w:asciiTheme="minorHAnsi" w:hAnsiTheme="minorHAnsi" w:cs="Arial"/>
          <w:sz w:val="22"/>
          <w:szCs w:val="22"/>
        </w:rPr>
        <w:tab/>
      </w:r>
      <w:r w:rsidRPr="00C26CA6">
        <w:rPr>
          <w:rFonts w:asciiTheme="minorHAnsi" w:hAnsiTheme="minorHAnsi" w:cs="Arial"/>
          <w:sz w:val="22"/>
          <w:szCs w:val="22"/>
        </w:rPr>
        <w:tab/>
        <w:t>Operační program Praha - pól růstu</w:t>
      </w:r>
    </w:p>
    <w:p w14:paraId="2CE24F49"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OP ŽP</w:t>
      </w:r>
      <w:r w:rsidRPr="00C26CA6">
        <w:rPr>
          <w:rFonts w:asciiTheme="minorHAnsi" w:hAnsiTheme="minorHAnsi" w:cs="Arial"/>
          <w:sz w:val="22"/>
          <w:szCs w:val="22"/>
        </w:rPr>
        <w:tab/>
      </w:r>
      <w:r w:rsidRPr="00C26CA6">
        <w:rPr>
          <w:rFonts w:asciiTheme="minorHAnsi" w:hAnsiTheme="minorHAnsi" w:cs="Arial"/>
          <w:sz w:val="22"/>
          <w:szCs w:val="22"/>
        </w:rPr>
        <w:tab/>
        <w:t>Operační program Životní prostředí</w:t>
      </w:r>
    </w:p>
    <w:p w14:paraId="01087053"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OP VVV</w:t>
      </w:r>
      <w:r w:rsidRPr="00C26CA6">
        <w:rPr>
          <w:rFonts w:asciiTheme="minorHAnsi" w:hAnsiTheme="minorHAnsi" w:cs="Arial"/>
          <w:sz w:val="22"/>
          <w:szCs w:val="22"/>
        </w:rPr>
        <w:tab/>
      </w:r>
      <w:r w:rsidRPr="00C26CA6">
        <w:rPr>
          <w:rFonts w:asciiTheme="minorHAnsi" w:hAnsiTheme="minorHAnsi" w:cs="Arial"/>
          <w:sz w:val="22"/>
          <w:szCs w:val="22"/>
        </w:rPr>
        <w:tab/>
        <w:t>Operační program Výzkum, vývoj a vzdělávání</w:t>
      </w:r>
    </w:p>
    <w:p w14:paraId="3BC9DA99"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OZE</w:t>
      </w:r>
      <w:r w:rsidRPr="00C26CA6">
        <w:rPr>
          <w:rFonts w:asciiTheme="minorHAnsi" w:hAnsiTheme="minorHAnsi" w:cs="Arial"/>
          <w:sz w:val="22"/>
          <w:szCs w:val="22"/>
        </w:rPr>
        <w:tab/>
      </w:r>
      <w:r w:rsidRPr="00C26CA6">
        <w:rPr>
          <w:rFonts w:asciiTheme="minorHAnsi" w:hAnsiTheme="minorHAnsi" w:cs="Arial"/>
          <w:sz w:val="22"/>
          <w:szCs w:val="22"/>
        </w:rPr>
        <w:tab/>
        <w:t>obnovitelné zdroje energie</w:t>
      </w:r>
    </w:p>
    <w:p w14:paraId="49D3ED22" w14:textId="343A4950"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PCI</w:t>
      </w:r>
      <w:r w:rsidRPr="00C26CA6">
        <w:rPr>
          <w:rFonts w:asciiTheme="minorHAnsi" w:hAnsiTheme="minorHAnsi" w:cs="Arial"/>
          <w:sz w:val="22"/>
          <w:szCs w:val="22"/>
        </w:rPr>
        <w:tab/>
      </w:r>
      <w:r w:rsidRPr="00C26CA6">
        <w:rPr>
          <w:rFonts w:asciiTheme="minorHAnsi" w:hAnsiTheme="minorHAnsi" w:cs="Arial"/>
          <w:sz w:val="22"/>
          <w:szCs w:val="22"/>
        </w:rPr>
        <w:tab/>
        <w:t>projekt společného zájmu</w:t>
      </w:r>
    </w:p>
    <w:p w14:paraId="623D1694"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PJ</w:t>
      </w:r>
      <w:r w:rsidRPr="00C26CA6">
        <w:rPr>
          <w:rFonts w:asciiTheme="minorHAnsi" w:hAnsiTheme="minorHAnsi" w:cs="Arial"/>
          <w:sz w:val="22"/>
          <w:szCs w:val="22"/>
        </w:rPr>
        <w:tab/>
      </w:r>
      <w:r w:rsidRPr="00C26CA6">
        <w:rPr>
          <w:rFonts w:asciiTheme="minorHAnsi" w:hAnsiTheme="minorHAnsi" w:cs="Arial"/>
          <w:sz w:val="22"/>
          <w:szCs w:val="22"/>
        </w:rPr>
        <w:tab/>
      </w:r>
      <w:proofErr w:type="spellStart"/>
      <w:r w:rsidRPr="00C26CA6">
        <w:rPr>
          <w:rFonts w:asciiTheme="minorHAnsi" w:hAnsiTheme="minorHAnsi" w:cs="Arial"/>
          <w:sz w:val="22"/>
          <w:szCs w:val="22"/>
        </w:rPr>
        <w:t>petajoule</w:t>
      </w:r>
      <w:proofErr w:type="spellEnd"/>
    </w:p>
    <w:p w14:paraId="5C9814D0"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PO</w:t>
      </w:r>
      <w:r w:rsidRPr="00C26CA6">
        <w:rPr>
          <w:rFonts w:asciiTheme="minorHAnsi" w:hAnsiTheme="minorHAnsi" w:cs="Arial"/>
          <w:sz w:val="22"/>
          <w:szCs w:val="22"/>
        </w:rPr>
        <w:tab/>
      </w:r>
      <w:r w:rsidRPr="00C26CA6">
        <w:rPr>
          <w:rFonts w:asciiTheme="minorHAnsi" w:hAnsiTheme="minorHAnsi" w:cs="Arial"/>
          <w:sz w:val="22"/>
          <w:szCs w:val="22"/>
        </w:rPr>
        <w:tab/>
        <w:t>prioritní osa</w:t>
      </w:r>
    </w:p>
    <w:p w14:paraId="516362BA" w14:textId="77777777" w:rsid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PÚR</w:t>
      </w:r>
      <w:r w:rsidRPr="00C26CA6">
        <w:rPr>
          <w:rFonts w:asciiTheme="minorHAnsi" w:hAnsiTheme="minorHAnsi" w:cs="Arial"/>
          <w:sz w:val="22"/>
          <w:szCs w:val="22"/>
        </w:rPr>
        <w:tab/>
      </w:r>
      <w:r w:rsidRPr="00C26CA6">
        <w:rPr>
          <w:rFonts w:asciiTheme="minorHAnsi" w:hAnsiTheme="minorHAnsi" w:cs="Arial"/>
          <w:sz w:val="22"/>
          <w:szCs w:val="22"/>
        </w:rPr>
        <w:tab/>
        <w:t>Politika územního rozvoje České republiky</w:t>
      </w:r>
    </w:p>
    <w:p w14:paraId="61B126D1" w14:textId="1029FC4E" w:rsidR="005A3CAF" w:rsidRPr="00C26CA6" w:rsidRDefault="005A3CAF" w:rsidP="00C26CA6">
      <w:pPr>
        <w:spacing w:after="120"/>
        <w:jc w:val="both"/>
        <w:rPr>
          <w:rFonts w:asciiTheme="minorHAnsi" w:hAnsiTheme="minorHAnsi" w:cs="Arial"/>
          <w:sz w:val="22"/>
          <w:szCs w:val="22"/>
        </w:rPr>
      </w:pPr>
      <w:r>
        <w:rPr>
          <w:rFonts w:asciiTheme="minorHAnsi" w:hAnsiTheme="minorHAnsi" w:cs="Arial"/>
          <w:sz w:val="22"/>
          <w:szCs w:val="22"/>
        </w:rPr>
        <w:t>PVC</w:t>
      </w:r>
      <w:r>
        <w:rPr>
          <w:rFonts w:asciiTheme="minorHAnsi" w:hAnsiTheme="minorHAnsi" w:cs="Arial"/>
          <w:sz w:val="22"/>
          <w:szCs w:val="22"/>
        </w:rPr>
        <w:tab/>
      </w:r>
      <w:r>
        <w:rPr>
          <w:rFonts w:asciiTheme="minorHAnsi" w:hAnsiTheme="minorHAnsi" w:cs="Arial"/>
          <w:sz w:val="22"/>
          <w:szCs w:val="22"/>
        </w:rPr>
        <w:tab/>
        <w:t>prioritní výzkumný cíl</w:t>
      </w:r>
    </w:p>
    <w:p w14:paraId="6CCF5A60"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RAO</w:t>
      </w:r>
      <w:r w:rsidRPr="00C26CA6">
        <w:rPr>
          <w:rFonts w:asciiTheme="minorHAnsi" w:hAnsiTheme="minorHAnsi" w:cs="Arial"/>
          <w:sz w:val="22"/>
          <w:szCs w:val="22"/>
        </w:rPr>
        <w:tab/>
      </w:r>
      <w:r w:rsidRPr="00C26CA6">
        <w:rPr>
          <w:rFonts w:asciiTheme="minorHAnsi" w:hAnsiTheme="minorHAnsi" w:cs="Arial"/>
          <w:sz w:val="22"/>
          <w:szCs w:val="22"/>
        </w:rPr>
        <w:tab/>
        <w:t>radioaktivní odpad</w:t>
      </w:r>
    </w:p>
    <w:p w14:paraId="69CB08C9"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SC</w:t>
      </w:r>
      <w:r w:rsidRPr="00C26CA6">
        <w:rPr>
          <w:rFonts w:asciiTheme="minorHAnsi" w:hAnsiTheme="minorHAnsi" w:cs="Arial"/>
          <w:sz w:val="22"/>
          <w:szCs w:val="22"/>
        </w:rPr>
        <w:tab/>
      </w:r>
      <w:r w:rsidRPr="00C26CA6">
        <w:rPr>
          <w:rFonts w:asciiTheme="minorHAnsi" w:hAnsiTheme="minorHAnsi" w:cs="Arial"/>
          <w:sz w:val="22"/>
          <w:szCs w:val="22"/>
        </w:rPr>
        <w:tab/>
        <w:t>specifický cíl</w:t>
      </w:r>
    </w:p>
    <w:p w14:paraId="2D1D0739"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SEK</w:t>
      </w:r>
      <w:r w:rsidRPr="00C26CA6">
        <w:rPr>
          <w:rFonts w:asciiTheme="minorHAnsi" w:hAnsiTheme="minorHAnsi" w:cs="Arial"/>
          <w:sz w:val="22"/>
          <w:szCs w:val="22"/>
        </w:rPr>
        <w:tab/>
      </w:r>
      <w:r w:rsidRPr="00C26CA6">
        <w:rPr>
          <w:rFonts w:asciiTheme="minorHAnsi" w:hAnsiTheme="minorHAnsi" w:cs="Arial"/>
          <w:sz w:val="22"/>
          <w:szCs w:val="22"/>
        </w:rPr>
        <w:tab/>
        <w:t>Státní energetická koncepce České republiky</w:t>
      </w:r>
    </w:p>
    <w:p w14:paraId="4DAAE761"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SEI</w:t>
      </w:r>
      <w:r w:rsidRPr="00C26CA6">
        <w:rPr>
          <w:rFonts w:asciiTheme="minorHAnsi" w:hAnsiTheme="minorHAnsi" w:cs="Arial"/>
          <w:sz w:val="22"/>
          <w:szCs w:val="22"/>
        </w:rPr>
        <w:tab/>
      </w:r>
      <w:r w:rsidRPr="00C26CA6">
        <w:rPr>
          <w:rFonts w:asciiTheme="minorHAnsi" w:hAnsiTheme="minorHAnsi" w:cs="Arial"/>
          <w:sz w:val="22"/>
          <w:szCs w:val="22"/>
        </w:rPr>
        <w:tab/>
        <w:t>Státní energetická inspekce</w:t>
      </w:r>
    </w:p>
    <w:p w14:paraId="0F2FF708" w14:textId="77777777" w:rsidR="003933C8" w:rsidRDefault="003933C8" w:rsidP="003933C8">
      <w:pPr>
        <w:spacing w:after="120"/>
        <w:jc w:val="both"/>
        <w:rPr>
          <w:rFonts w:asciiTheme="minorHAnsi" w:hAnsiTheme="minorHAnsi" w:cs="Arial"/>
          <w:sz w:val="22"/>
          <w:szCs w:val="22"/>
        </w:rPr>
      </w:pPr>
      <w:r>
        <w:rPr>
          <w:rFonts w:asciiTheme="minorHAnsi" w:hAnsiTheme="minorHAnsi" w:cs="Arial"/>
          <w:sz w:val="22"/>
          <w:szCs w:val="22"/>
        </w:rPr>
        <w:t>SET plán</w:t>
      </w:r>
      <w:r>
        <w:rPr>
          <w:rFonts w:asciiTheme="minorHAnsi" w:hAnsiTheme="minorHAnsi" w:cs="Arial"/>
          <w:sz w:val="22"/>
          <w:szCs w:val="22"/>
        </w:rPr>
        <w:tab/>
      </w:r>
      <w:r w:rsidRPr="003933C8">
        <w:rPr>
          <w:rFonts w:asciiTheme="minorHAnsi" w:hAnsiTheme="minorHAnsi" w:cs="Arial"/>
          <w:sz w:val="22"/>
          <w:szCs w:val="22"/>
        </w:rPr>
        <w:t>Evropský strategický plán pro energetické technologie</w:t>
      </w:r>
    </w:p>
    <w:p w14:paraId="307B4DA1"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SSHR</w:t>
      </w:r>
      <w:r w:rsidRPr="00C26CA6">
        <w:rPr>
          <w:rFonts w:asciiTheme="minorHAnsi" w:hAnsiTheme="minorHAnsi" w:cs="Arial"/>
          <w:sz w:val="22"/>
          <w:szCs w:val="22"/>
        </w:rPr>
        <w:tab/>
      </w:r>
      <w:r w:rsidRPr="00C26CA6">
        <w:rPr>
          <w:rFonts w:asciiTheme="minorHAnsi" w:hAnsiTheme="minorHAnsi" w:cs="Arial"/>
          <w:sz w:val="22"/>
          <w:szCs w:val="22"/>
        </w:rPr>
        <w:tab/>
        <w:t>Správa státních hmotných rezerv</w:t>
      </w:r>
    </w:p>
    <w:p w14:paraId="055DE7B8"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SÚJB</w:t>
      </w:r>
      <w:r w:rsidRPr="00C26CA6">
        <w:rPr>
          <w:rFonts w:asciiTheme="minorHAnsi" w:hAnsiTheme="minorHAnsi" w:cs="Arial"/>
          <w:sz w:val="22"/>
          <w:szCs w:val="22"/>
        </w:rPr>
        <w:tab/>
      </w:r>
      <w:r w:rsidRPr="00C26CA6">
        <w:rPr>
          <w:rFonts w:asciiTheme="minorHAnsi" w:hAnsiTheme="minorHAnsi" w:cs="Arial"/>
          <w:sz w:val="22"/>
          <w:szCs w:val="22"/>
        </w:rPr>
        <w:tab/>
        <w:t>Státní úřad pro jadernou bezpečnost</w:t>
      </w:r>
    </w:p>
    <w:p w14:paraId="7E8F233B"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SÚRAO</w:t>
      </w:r>
      <w:r w:rsidRPr="00C26CA6">
        <w:rPr>
          <w:rFonts w:asciiTheme="minorHAnsi" w:hAnsiTheme="minorHAnsi" w:cs="Arial"/>
          <w:sz w:val="22"/>
          <w:szCs w:val="22"/>
        </w:rPr>
        <w:tab/>
      </w:r>
      <w:r w:rsidRPr="00C26CA6">
        <w:rPr>
          <w:rFonts w:asciiTheme="minorHAnsi" w:hAnsiTheme="minorHAnsi" w:cs="Arial"/>
          <w:sz w:val="22"/>
          <w:szCs w:val="22"/>
        </w:rPr>
        <w:tab/>
        <w:t>Správa úložišť radioaktivních odpadů</w:t>
      </w:r>
    </w:p>
    <w:p w14:paraId="544780C6" w14:textId="77777777" w:rsid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TA ČR</w:t>
      </w:r>
      <w:r w:rsidRPr="00C26CA6">
        <w:rPr>
          <w:rFonts w:asciiTheme="minorHAnsi" w:hAnsiTheme="minorHAnsi" w:cs="Arial"/>
          <w:sz w:val="22"/>
          <w:szCs w:val="22"/>
        </w:rPr>
        <w:tab/>
      </w:r>
      <w:r w:rsidRPr="00C26CA6">
        <w:rPr>
          <w:rFonts w:asciiTheme="minorHAnsi" w:hAnsiTheme="minorHAnsi" w:cs="Arial"/>
          <w:sz w:val="22"/>
          <w:szCs w:val="22"/>
        </w:rPr>
        <w:tab/>
        <w:t>Technologická agentura České republiky</w:t>
      </w:r>
    </w:p>
    <w:p w14:paraId="658AFA0B" w14:textId="3AEA4AC9" w:rsidR="000C23E4" w:rsidRPr="00C26CA6" w:rsidRDefault="000C23E4" w:rsidP="000C23E4">
      <w:pPr>
        <w:spacing w:after="120"/>
        <w:ind w:left="1410" w:hanging="1410"/>
        <w:jc w:val="both"/>
        <w:rPr>
          <w:rFonts w:asciiTheme="minorHAnsi" w:hAnsiTheme="minorHAnsi" w:cs="Arial"/>
          <w:sz w:val="22"/>
          <w:szCs w:val="22"/>
        </w:rPr>
      </w:pPr>
      <w:r>
        <w:rPr>
          <w:rFonts w:asciiTheme="minorHAnsi" w:hAnsiTheme="minorHAnsi" w:cs="Arial"/>
          <w:sz w:val="22"/>
          <w:szCs w:val="22"/>
        </w:rPr>
        <w:t>TSC</w:t>
      </w:r>
      <w:r>
        <w:rPr>
          <w:rFonts w:asciiTheme="minorHAnsi" w:hAnsiTheme="minorHAnsi" w:cs="Arial"/>
          <w:sz w:val="22"/>
          <w:szCs w:val="22"/>
        </w:rPr>
        <w:tab/>
      </w:r>
      <w:r w:rsidRPr="000C23E4">
        <w:rPr>
          <w:rFonts w:asciiTheme="minorHAnsi" w:hAnsiTheme="minorHAnsi" w:cs="Arial"/>
          <w:sz w:val="22"/>
          <w:szCs w:val="22"/>
        </w:rPr>
        <w:t>Bezpečnostní spolupráce provozovatelů přenosových soustav</w:t>
      </w:r>
    </w:p>
    <w:p w14:paraId="56240CF6"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ÚEK</w:t>
      </w:r>
      <w:r w:rsidRPr="00C26CA6">
        <w:rPr>
          <w:rFonts w:asciiTheme="minorHAnsi" w:hAnsiTheme="minorHAnsi" w:cs="Arial"/>
          <w:sz w:val="22"/>
          <w:szCs w:val="22"/>
        </w:rPr>
        <w:tab/>
      </w:r>
      <w:r w:rsidRPr="00C26CA6">
        <w:rPr>
          <w:rFonts w:asciiTheme="minorHAnsi" w:hAnsiTheme="minorHAnsi" w:cs="Arial"/>
          <w:sz w:val="22"/>
          <w:szCs w:val="22"/>
        </w:rPr>
        <w:tab/>
        <w:t>územní energetická koncepce</w:t>
      </w:r>
    </w:p>
    <w:p w14:paraId="40121BD3"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ÚOHS</w:t>
      </w:r>
      <w:r w:rsidRPr="00C26CA6">
        <w:rPr>
          <w:rFonts w:asciiTheme="minorHAnsi" w:hAnsiTheme="minorHAnsi" w:cs="Arial"/>
          <w:sz w:val="22"/>
          <w:szCs w:val="22"/>
        </w:rPr>
        <w:tab/>
      </w:r>
      <w:r w:rsidRPr="00C26CA6">
        <w:rPr>
          <w:rFonts w:asciiTheme="minorHAnsi" w:hAnsiTheme="minorHAnsi" w:cs="Arial"/>
          <w:sz w:val="22"/>
          <w:szCs w:val="22"/>
        </w:rPr>
        <w:tab/>
        <w:t>Úřad pro ochranu hospodářské soutěže</w:t>
      </w:r>
    </w:p>
    <w:p w14:paraId="11C23B0E"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ÚPD</w:t>
      </w:r>
      <w:r w:rsidRPr="00C26CA6">
        <w:rPr>
          <w:rFonts w:asciiTheme="minorHAnsi" w:hAnsiTheme="minorHAnsi" w:cs="Arial"/>
          <w:sz w:val="22"/>
          <w:szCs w:val="22"/>
        </w:rPr>
        <w:tab/>
      </w:r>
      <w:r w:rsidRPr="00C26CA6">
        <w:rPr>
          <w:rFonts w:asciiTheme="minorHAnsi" w:hAnsiTheme="minorHAnsi" w:cs="Arial"/>
          <w:sz w:val="22"/>
          <w:szCs w:val="22"/>
        </w:rPr>
        <w:tab/>
        <w:t>územně plánovací dokumentace</w:t>
      </w:r>
    </w:p>
    <w:p w14:paraId="636053E9"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lastRenderedPageBreak/>
        <w:t>ÚR</w:t>
      </w:r>
      <w:r w:rsidRPr="00C26CA6">
        <w:rPr>
          <w:rFonts w:asciiTheme="minorHAnsi" w:hAnsiTheme="minorHAnsi" w:cs="Arial"/>
          <w:sz w:val="22"/>
          <w:szCs w:val="22"/>
        </w:rPr>
        <w:tab/>
      </w:r>
      <w:r w:rsidRPr="00C26CA6">
        <w:rPr>
          <w:rFonts w:asciiTheme="minorHAnsi" w:hAnsiTheme="minorHAnsi" w:cs="Arial"/>
          <w:sz w:val="22"/>
          <w:szCs w:val="22"/>
        </w:rPr>
        <w:tab/>
        <w:t>územní rozhodnutí</w:t>
      </w:r>
    </w:p>
    <w:p w14:paraId="01800AF5"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ÚV ČR</w:t>
      </w:r>
      <w:r w:rsidRPr="00C26CA6">
        <w:rPr>
          <w:rFonts w:asciiTheme="minorHAnsi" w:hAnsiTheme="minorHAnsi" w:cs="Arial"/>
          <w:sz w:val="22"/>
          <w:szCs w:val="22"/>
        </w:rPr>
        <w:tab/>
      </w:r>
      <w:r w:rsidRPr="00C26CA6">
        <w:rPr>
          <w:rFonts w:asciiTheme="minorHAnsi" w:hAnsiTheme="minorHAnsi" w:cs="Arial"/>
          <w:sz w:val="22"/>
          <w:szCs w:val="22"/>
        </w:rPr>
        <w:tab/>
        <w:t>Úřad vlády České republiky</w:t>
      </w:r>
    </w:p>
    <w:p w14:paraId="28310F67"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V4</w:t>
      </w:r>
      <w:r w:rsidRPr="00C26CA6">
        <w:rPr>
          <w:rFonts w:asciiTheme="minorHAnsi" w:hAnsiTheme="minorHAnsi" w:cs="Arial"/>
          <w:sz w:val="22"/>
          <w:szCs w:val="22"/>
        </w:rPr>
        <w:tab/>
      </w:r>
      <w:r w:rsidRPr="00C26CA6">
        <w:rPr>
          <w:rFonts w:asciiTheme="minorHAnsi" w:hAnsiTheme="minorHAnsi" w:cs="Arial"/>
          <w:sz w:val="22"/>
          <w:szCs w:val="22"/>
        </w:rPr>
        <w:tab/>
        <w:t>Visegrádská skupina</w:t>
      </w:r>
    </w:p>
    <w:p w14:paraId="7D28B74F" w14:textId="77777777" w:rsidR="00C26CA6" w:rsidRPr="00C26CA6" w:rsidRDefault="00C26CA6" w:rsidP="00C26CA6">
      <w:pPr>
        <w:spacing w:after="120"/>
        <w:jc w:val="both"/>
        <w:rPr>
          <w:rFonts w:asciiTheme="minorHAnsi" w:hAnsiTheme="minorHAnsi" w:cs="Arial"/>
          <w:sz w:val="22"/>
          <w:szCs w:val="22"/>
        </w:rPr>
      </w:pPr>
      <w:proofErr w:type="spellStart"/>
      <w:r w:rsidRPr="00C26CA6">
        <w:rPr>
          <w:rFonts w:asciiTheme="minorHAnsi" w:hAnsiTheme="minorHAnsi" w:cs="Arial"/>
          <w:sz w:val="22"/>
          <w:szCs w:val="22"/>
        </w:rPr>
        <w:t>VaV</w:t>
      </w:r>
      <w:proofErr w:type="spellEnd"/>
      <w:r w:rsidRPr="00C26CA6">
        <w:rPr>
          <w:rFonts w:asciiTheme="minorHAnsi" w:hAnsiTheme="minorHAnsi" w:cs="Arial"/>
          <w:sz w:val="22"/>
          <w:szCs w:val="22"/>
        </w:rPr>
        <w:tab/>
      </w:r>
      <w:r w:rsidRPr="00C26CA6">
        <w:rPr>
          <w:rFonts w:asciiTheme="minorHAnsi" w:hAnsiTheme="minorHAnsi" w:cs="Arial"/>
          <w:sz w:val="22"/>
          <w:szCs w:val="22"/>
        </w:rPr>
        <w:tab/>
        <w:t>výzkum a vývoj</w:t>
      </w:r>
    </w:p>
    <w:p w14:paraId="1E0D55B0" w14:textId="77777777" w:rsidR="00C26CA6" w:rsidRPr="00C26CA6" w:rsidRDefault="00C26CA6" w:rsidP="00C26CA6">
      <w:pPr>
        <w:spacing w:after="120"/>
        <w:jc w:val="both"/>
        <w:rPr>
          <w:rFonts w:asciiTheme="minorHAnsi" w:hAnsiTheme="minorHAnsi" w:cs="Arial"/>
          <w:sz w:val="22"/>
          <w:szCs w:val="22"/>
        </w:rPr>
      </w:pPr>
      <w:proofErr w:type="spellStart"/>
      <w:r w:rsidRPr="00C26CA6">
        <w:rPr>
          <w:rFonts w:asciiTheme="minorHAnsi" w:hAnsiTheme="minorHAnsi" w:cs="Arial"/>
          <w:sz w:val="22"/>
          <w:szCs w:val="22"/>
        </w:rPr>
        <w:t>VaVaI</w:t>
      </w:r>
      <w:proofErr w:type="spellEnd"/>
      <w:r w:rsidRPr="00C26CA6">
        <w:rPr>
          <w:rFonts w:asciiTheme="minorHAnsi" w:hAnsiTheme="minorHAnsi" w:cs="Arial"/>
          <w:sz w:val="22"/>
          <w:szCs w:val="22"/>
        </w:rPr>
        <w:tab/>
      </w:r>
      <w:r w:rsidRPr="00C26CA6">
        <w:rPr>
          <w:rFonts w:asciiTheme="minorHAnsi" w:hAnsiTheme="minorHAnsi" w:cs="Arial"/>
          <w:sz w:val="22"/>
          <w:szCs w:val="22"/>
        </w:rPr>
        <w:tab/>
        <w:t>výzkum, vývoj a inovace</w:t>
      </w:r>
    </w:p>
    <w:p w14:paraId="009D061A" w14:textId="77777777" w:rsidR="00C26CA6" w:rsidRP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VH</w:t>
      </w:r>
      <w:r w:rsidRPr="00C26CA6">
        <w:rPr>
          <w:rFonts w:asciiTheme="minorHAnsi" w:hAnsiTheme="minorHAnsi" w:cs="Arial"/>
          <w:sz w:val="22"/>
          <w:szCs w:val="22"/>
        </w:rPr>
        <w:tab/>
      </w:r>
      <w:r w:rsidRPr="00C26CA6">
        <w:rPr>
          <w:rFonts w:asciiTheme="minorHAnsi" w:hAnsiTheme="minorHAnsi" w:cs="Arial"/>
          <w:sz w:val="22"/>
          <w:szCs w:val="22"/>
        </w:rPr>
        <w:tab/>
        <w:t>valná hromada</w:t>
      </w:r>
    </w:p>
    <w:p w14:paraId="22FFB9A9" w14:textId="77777777" w:rsidR="00C26CA6"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VJP</w:t>
      </w:r>
      <w:r w:rsidRPr="00C26CA6">
        <w:rPr>
          <w:rFonts w:asciiTheme="minorHAnsi" w:hAnsiTheme="minorHAnsi" w:cs="Arial"/>
          <w:sz w:val="22"/>
          <w:szCs w:val="22"/>
        </w:rPr>
        <w:tab/>
      </w:r>
      <w:r w:rsidRPr="00C26CA6">
        <w:rPr>
          <w:rFonts w:asciiTheme="minorHAnsi" w:hAnsiTheme="minorHAnsi" w:cs="Arial"/>
          <w:sz w:val="22"/>
          <w:szCs w:val="22"/>
        </w:rPr>
        <w:tab/>
        <w:t>vyhořelé jaderné palivo</w:t>
      </w:r>
    </w:p>
    <w:p w14:paraId="2D92B344" w14:textId="375A9117" w:rsidR="00145191" w:rsidRPr="00C26CA6" w:rsidRDefault="00145191" w:rsidP="00145191">
      <w:pPr>
        <w:spacing w:after="120"/>
        <w:ind w:left="1410" w:hanging="1410"/>
        <w:jc w:val="both"/>
        <w:rPr>
          <w:rFonts w:asciiTheme="minorHAnsi" w:hAnsiTheme="minorHAnsi" w:cs="Arial"/>
          <w:sz w:val="22"/>
          <w:szCs w:val="22"/>
        </w:rPr>
      </w:pPr>
      <w:r w:rsidRPr="00145191">
        <w:rPr>
          <w:rFonts w:asciiTheme="minorHAnsi" w:hAnsiTheme="minorHAnsi" w:cs="Arial"/>
          <w:sz w:val="22"/>
          <w:szCs w:val="22"/>
        </w:rPr>
        <w:t>WENRA</w:t>
      </w:r>
      <w:r w:rsidRPr="00145191">
        <w:rPr>
          <w:rFonts w:asciiTheme="minorHAnsi" w:hAnsiTheme="minorHAnsi" w:cs="Arial"/>
          <w:sz w:val="22"/>
          <w:szCs w:val="22"/>
        </w:rPr>
        <w:tab/>
      </w:r>
      <w:r w:rsidRPr="00145191">
        <w:rPr>
          <w:rFonts w:asciiTheme="minorHAnsi" w:hAnsiTheme="minorHAnsi" w:cs="Arial"/>
          <w:sz w:val="22"/>
          <w:szCs w:val="22"/>
        </w:rPr>
        <w:tab/>
        <w:t>Západoevropská asociace jaderných regulátorů</w:t>
      </w:r>
    </w:p>
    <w:p w14:paraId="0E450596" w14:textId="4782544C" w:rsidR="006927D5" w:rsidRDefault="00C26CA6" w:rsidP="00C26CA6">
      <w:pPr>
        <w:spacing w:after="120"/>
        <w:jc w:val="both"/>
        <w:rPr>
          <w:rFonts w:asciiTheme="minorHAnsi" w:hAnsiTheme="minorHAnsi" w:cs="Arial"/>
          <w:sz w:val="22"/>
          <w:szCs w:val="22"/>
        </w:rPr>
      </w:pPr>
      <w:r w:rsidRPr="00C26CA6">
        <w:rPr>
          <w:rFonts w:asciiTheme="minorHAnsi" w:hAnsiTheme="minorHAnsi" w:cs="Arial"/>
          <w:sz w:val="22"/>
          <w:szCs w:val="22"/>
        </w:rPr>
        <w:t>ZÚR</w:t>
      </w:r>
      <w:r w:rsidRPr="00C26CA6">
        <w:rPr>
          <w:rFonts w:asciiTheme="minorHAnsi" w:hAnsiTheme="minorHAnsi" w:cs="Arial"/>
          <w:sz w:val="22"/>
          <w:szCs w:val="22"/>
        </w:rPr>
        <w:tab/>
      </w:r>
      <w:r w:rsidRPr="00C26CA6">
        <w:rPr>
          <w:rFonts w:asciiTheme="minorHAnsi" w:hAnsiTheme="minorHAnsi" w:cs="Arial"/>
          <w:sz w:val="22"/>
          <w:szCs w:val="22"/>
        </w:rPr>
        <w:tab/>
        <w:t>zásady územního rozvoje</w:t>
      </w:r>
    </w:p>
    <w:sectPr w:rsidR="006927D5" w:rsidSect="00DD46B3">
      <w:footerReference w:type="default" r:id="rId11"/>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C5CD71" w14:textId="77777777" w:rsidR="0045612D" w:rsidRDefault="0045612D" w:rsidP="00DD46B3">
      <w:r>
        <w:separator/>
      </w:r>
    </w:p>
  </w:endnote>
  <w:endnote w:type="continuationSeparator" w:id="0">
    <w:p w14:paraId="265D9BC2" w14:textId="77777777" w:rsidR="0045612D" w:rsidRDefault="0045612D" w:rsidP="00DD4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07EA0" w14:textId="4323650A" w:rsidR="00CD4F64" w:rsidRDefault="00CD4F64">
    <w:pPr>
      <w:pStyle w:val="Zpat"/>
      <w:jc w:val="center"/>
    </w:pPr>
  </w:p>
  <w:p w14:paraId="0F52F782" w14:textId="77777777" w:rsidR="00CD4F64" w:rsidRDefault="00CD4F6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3164043"/>
      <w:docPartObj>
        <w:docPartGallery w:val="Page Numbers (Bottom of Page)"/>
        <w:docPartUnique/>
      </w:docPartObj>
    </w:sdtPr>
    <w:sdtEndPr/>
    <w:sdtContent>
      <w:p w14:paraId="7CD1B12F" w14:textId="77777777" w:rsidR="00CD4F64" w:rsidRDefault="00CD4F64">
        <w:pPr>
          <w:pStyle w:val="Zpat"/>
          <w:jc w:val="center"/>
        </w:pPr>
        <w:r>
          <w:t>-</w:t>
        </w:r>
        <w:r>
          <w:fldChar w:fldCharType="begin"/>
        </w:r>
        <w:r>
          <w:instrText>PAGE   \* MERGEFORMAT</w:instrText>
        </w:r>
        <w:r>
          <w:fldChar w:fldCharType="separate"/>
        </w:r>
        <w:r w:rsidR="00C6340D">
          <w:rPr>
            <w:noProof/>
          </w:rPr>
          <w:t>19</w:t>
        </w:r>
        <w:r>
          <w:fldChar w:fldCharType="end"/>
        </w:r>
        <w:r>
          <w:t>-</w:t>
        </w:r>
      </w:p>
    </w:sdtContent>
  </w:sdt>
  <w:p w14:paraId="13875668" w14:textId="77777777" w:rsidR="00CD4F64" w:rsidRDefault="00CD4F6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3F02E8" w14:textId="77777777" w:rsidR="0045612D" w:rsidRDefault="0045612D" w:rsidP="00DD46B3">
      <w:r>
        <w:separator/>
      </w:r>
    </w:p>
  </w:footnote>
  <w:footnote w:type="continuationSeparator" w:id="0">
    <w:p w14:paraId="23B8C3F1" w14:textId="77777777" w:rsidR="0045612D" w:rsidRDefault="0045612D" w:rsidP="00DD46B3">
      <w:r>
        <w:continuationSeparator/>
      </w:r>
    </w:p>
  </w:footnote>
  <w:footnote w:id="1">
    <w:p w14:paraId="0EF2AA47" w14:textId="59FABCFC" w:rsidR="00CD4F64" w:rsidRDefault="00CD4F64" w:rsidP="00CD4F64">
      <w:pPr>
        <w:pStyle w:val="Textpoznpodarou"/>
        <w:jc w:val="both"/>
      </w:pPr>
      <w:r>
        <w:rPr>
          <w:rStyle w:val="Znakapoznpodarou"/>
        </w:rPr>
        <w:footnoteRef/>
      </w:r>
      <w:r>
        <w:t xml:space="preserve"> V září 2018 byla zpráva z roku 2017 nejdříve aktualizována gestory a </w:t>
      </w:r>
      <w:proofErr w:type="spellStart"/>
      <w:r>
        <w:t>spolugestory</w:t>
      </w:r>
      <w:proofErr w:type="spellEnd"/>
      <w:r>
        <w:t xml:space="preserve"> jednotlivých úkolů v rámci Ministerstv</w:t>
      </w:r>
      <w:r w:rsidR="006C7548">
        <w:t>a</w:t>
      </w:r>
      <w:r>
        <w:t xml:space="preserve"> průmyslu a </w:t>
      </w:r>
      <w:r w:rsidR="006C7548">
        <w:t>obchodu. Následně byli</w:t>
      </w:r>
      <w:r>
        <w:t xml:space="preserve"> osloveni gestoři a </w:t>
      </w:r>
      <w:proofErr w:type="spellStart"/>
      <w:r>
        <w:t>spolugestoři</w:t>
      </w:r>
      <w:proofErr w:type="spellEnd"/>
      <w:r>
        <w:t xml:space="preserve"> za ostatní subjekty a na základě jejich reakcí proběhla </w:t>
      </w:r>
      <w:r w:rsidR="00476F89">
        <w:t>v</w:t>
      </w:r>
      <w:r>
        <w:t xml:space="preserve"> říj</w:t>
      </w:r>
      <w:r w:rsidR="00476F89">
        <w:t>nu</w:t>
      </w:r>
      <w:r>
        <w:t xml:space="preserve"> 2018 </w:t>
      </w:r>
      <w:r w:rsidR="006C7548">
        <w:t>další</w:t>
      </w:r>
      <w:r>
        <w:t xml:space="preserve"> aktualizace plnění</w:t>
      </w:r>
      <w:r w:rsidR="006C7548">
        <w:t xml:space="preserve"> </w:t>
      </w:r>
      <w:r w:rsidR="00476F89">
        <w:t>úkolů</w:t>
      </w:r>
      <w:r>
        <w:t>. Následně</w:t>
      </w:r>
      <w:r w:rsidR="006C7548">
        <w:t xml:space="preserve"> </w:t>
      </w:r>
      <w:r>
        <w:t>proběhlo</w:t>
      </w:r>
      <w:r w:rsidR="00476F89">
        <w:t xml:space="preserve"> </w:t>
      </w:r>
      <w:r w:rsidR="00020B13">
        <w:t>počátkem</w:t>
      </w:r>
      <w:r w:rsidR="00476F89">
        <w:t xml:space="preserve"> listopadu 2018</w:t>
      </w:r>
      <w:r>
        <w:t xml:space="preserve"> </w:t>
      </w:r>
      <w:r w:rsidR="006C7548">
        <w:t>také vnitřní připomínkové řízení</w:t>
      </w:r>
      <w:r>
        <w:t xml:space="preserve">, </w:t>
      </w:r>
      <w:r w:rsidR="006C7548">
        <w:t>při němž</w:t>
      </w:r>
      <w:r w:rsidR="00476F89">
        <w:t xml:space="preserve"> byla provedena</w:t>
      </w:r>
      <w:r w:rsidR="006C7548">
        <w:t xml:space="preserve"> finální kontrol</w:t>
      </w:r>
      <w:r w:rsidR="00476F89">
        <w:t>a</w:t>
      </w:r>
      <w:r w:rsidR="006C7548">
        <w:t xml:space="preserve"> </w:t>
      </w:r>
      <w:r w:rsidR="00476F89">
        <w:t xml:space="preserve">celého materiálu </w:t>
      </w:r>
      <w:r w:rsidR="006C7548">
        <w:t>a</w:t>
      </w:r>
      <w:r w:rsidR="00476F89">
        <w:t xml:space="preserve"> došlo i k </w:t>
      </w:r>
      <w:r w:rsidR="006C7548">
        <w:t xml:space="preserve">jeho </w:t>
      </w:r>
      <w:r w:rsidR="00476F89">
        <w:t>poslední aktualizaci</w:t>
      </w:r>
      <w:r>
        <w:t>. Informace obsažené v</w:t>
      </w:r>
      <w:r w:rsidR="006C7548">
        <w:t xml:space="preserve"> této zprávě </w:t>
      </w:r>
      <w:r w:rsidR="00476F89">
        <w:t xml:space="preserve">je </w:t>
      </w:r>
      <w:r w:rsidR="006C7548">
        <w:t xml:space="preserve">tedy </w:t>
      </w:r>
      <w:r w:rsidR="00476F89">
        <w:t>možné</w:t>
      </w:r>
      <w:r w:rsidR="006C7548">
        <w:t>, vzhledem k</w:t>
      </w:r>
      <w:r w:rsidR="007B21C5">
        <w:t xml:space="preserve"> době jejich konečné revize, fakticky </w:t>
      </w:r>
      <w:r w:rsidR="006C7548">
        <w:t>považovat za aktuální k listopadu 2018</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C4DCA"/>
    <w:multiLevelType w:val="hybridMultilevel"/>
    <w:tmpl w:val="997CB0D0"/>
    <w:lvl w:ilvl="0" w:tplc="BD2E0942">
      <w:numFmt w:val="bullet"/>
      <w:lvlText w:val="-"/>
      <w:lvlJc w:val="left"/>
      <w:pPr>
        <w:ind w:left="720" w:hanging="360"/>
      </w:pPr>
      <w:rPr>
        <w:rFonts w:ascii="Calibri" w:eastAsia="Times New Roman" w:hAnsi="Calibri"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B446DA"/>
    <w:multiLevelType w:val="hybridMultilevel"/>
    <w:tmpl w:val="6480F69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3B3DDD"/>
    <w:multiLevelType w:val="hybridMultilevel"/>
    <w:tmpl w:val="0B54F7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BE61DA"/>
    <w:multiLevelType w:val="multilevel"/>
    <w:tmpl w:val="942E214E"/>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220A87"/>
    <w:multiLevelType w:val="hybridMultilevel"/>
    <w:tmpl w:val="1DE65D86"/>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41165F9"/>
    <w:multiLevelType w:val="multilevel"/>
    <w:tmpl w:val="8EF4C10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54719BA"/>
    <w:multiLevelType w:val="hybridMultilevel"/>
    <w:tmpl w:val="5C84A69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17C06C7"/>
    <w:multiLevelType w:val="hybridMultilevel"/>
    <w:tmpl w:val="64C8DB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837190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A1015D1"/>
    <w:multiLevelType w:val="hybridMultilevel"/>
    <w:tmpl w:val="4C5013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6E54855"/>
    <w:multiLevelType w:val="hybridMultilevel"/>
    <w:tmpl w:val="5ECE7ED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23A05FA"/>
    <w:multiLevelType w:val="hybridMultilevel"/>
    <w:tmpl w:val="D3E0D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55126A3"/>
    <w:multiLevelType w:val="hybridMultilevel"/>
    <w:tmpl w:val="C6764604"/>
    <w:lvl w:ilvl="0" w:tplc="04050003">
      <w:start w:val="1"/>
      <w:numFmt w:val="bullet"/>
      <w:lvlText w:val="o"/>
      <w:lvlJc w:val="left"/>
      <w:pPr>
        <w:ind w:left="1004" w:hanging="360"/>
      </w:pPr>
      <w:rPr>
        <w:rFonts w:ascii="Courier New" w:hAnsi="Courier New" w:cs="Courier New"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6768517C"/>
    <w:multiLevelType w:val="multilevel"/>
    <w:tmpl w:val="F940B760"/>
    <w:lvl w:ilvl="0">
      <w:start w:val="1"/>
      <w:numFmt w:val="decimal"/>
      <w:lvlText w:val="%1."/>
      <w:lvlJc w:val="left"/>
      <w:pPr>
        <w:ind w:left="360" w:hanging="360"/>
      </w:pPr>
    </w:lvl>
    <w:lvl w:ilvl="1">
      <w:start w:val="1"/>
      <w:numFmt w:val="decimal"/>
      <w:pStyle w:val="Nadpis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6"/>
  </w:num>
  <w:num w:numId="3">
    <w:abstractNumId w:val="1"/>
  </w:num>
  <w:num w:numId="4">
    <w:abstractNumId w:val="4"/>
  </w:num>
  <w:num w:numId="5">
    <w:abstractNumId w:val="8"/>
  </w:num>
  <w:num w:numId="6">
    <w:abstractNumId w:val="3"/>
  </w:num>
  <w:num w:numId="7">
    <w:abstractNumId w:val="13"/>
  </w:num>
  <w:num w:numId="8">
    <w:abstractNumId w:val="9"/>
  </w:num>
  <w:num w:numId="9">
    <w:abstractNumId w:val="11"/>
  </w:num>
  <w:num w:numId="10">
    <w:abstractNumId w:val="7"/>
  </w:num>
  <w:num w:numId="11">
    <w:abstractNumId w:val="2"/>
  </w:num>
  <w:num w:numId="12">
    <w:abstractNumId w:val="10"/>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821"/>
    <w:rsid w:val="00000E53"/>
    <w:rsid w:val="00007470"/>
    <w:rsid w:val="00016B84"/>
    <w:rsid w:val="00020B13"/>
    <w:rsid w:val="00025A0C"/>
    <w:rsid w:val="000408D0"/>
    <w:rsid w:val="00043F9A"/>
    <w:rsid w:val="00045DF9"/>
    <w:rsid w:val="00046075"/>
    <w:rsid w:val="00050543"/>
    <w:rsid w:val="00060F1D"/>
    <w:rsid w:val="00061085"/>
    <w:rsid w:val="00064398"/>
    <w:rsid w:val="00071A4B"/>
    <w:rsid w:val="00076C4C"/>
    <w:rsid w:val="00077DB1"/>
    <w:rsid w:val="000816BE"/>
    <w:rsid w:val="0008305B"/>
    <w:rsid w:val="00090AA7"/>
    <w:rsid w:val="00091685"/>
    <w:rsid w:val="000943DA"/>
    <w:rsid w:val="00095285"/>
    <w:rsid w:val="000968A7"/>
    <w:rsid w:val="000B1C86"/>
    <w:rsid w:val="000B6057"/>
    <w:rsid w:val="000C0D49"/>
    <w:rsid w:val="000C23E4"/>
    <w:rsid w:val="000C29C5"/>
    <w:rsid w:val="000C6A84"/>
    <w:rsid w:val="000D121B"/>
    <w:rsid w:val="000D5150"/>
    <w:rsid w:val="000D5E09"/>
    <w:rsid w:val="000D6241"/>
    <w:rsid w:val="000E451E"/>
    <w:rsid w:val="000F5F31"/>
    <w:rsid w:val="00100E1C"/>
    <w:rsid w:val="00100EBE"/>
    <w:rsid w:val="00111DFF"/>
    <w:rsid w:val="001152A7"/>
    <w:rsid w:val="00121EFC"/>
    <w:rsid w:val="00124A31"/>
    <w:rsid w:val="00136845"/>
    <w:rsid w:val="00142661"/>
    <w:rsid w:val="00145191"/>
    <w:rsid w:val="001474BD"/>
    <w:rsid w:val="00147FF8"/>
    <w:rsid w:val="00150987"/>
    <w:rsid w:val="0015432C"/>
    <w:rsid w:val="00167FC7"/>
    <w:rsid w:val="00175CF0"/>
    <w:rsid w:val="0017765A"/>
    <w:rsid w:val="00184A1E"/>
    <w:rsid w:val="00186AC6"/>
    <w:rsid w:val="00190983"/>
    <w:rsid w:val="001945CD"/>
    <w:rsid w:val="001A0BB1"/>
    <w:rsid w:val="001C0781"/>
    <w:rsid w:val="001C3542"/>
    <w:rsid w:val="001C4923"/>
    <w:rsid w:val="001C5D9C"/>
    <w:rsid w:val="001C6803"/>
    <w:rsid w:val="001C7086"/>
    <w:rsid w:val="001D4F10"/>
    <w:rsid w:val="001D537F"/>
    <w:rsid w:val="001D7BB1"/>
    <w:rsid w:val="001E07D3"/>
    <w:rsid w:val="001E2110"/>
    <w:rsid w:val="001E5F95"/>
    <w:rsid w:val="001F6691"/>
    <w:rsid w:val="001F6F29"/>
    <w:rsid w:val="00201BF8"/>
    <w:rsid w:val="002051EC"/>
    <w:rsid w:val="00207202"/>
    <w:rsid w:val="00216B3D"/>
    <w:rsid w:val="002253F4"/>
    <w:rsid w:val="00230EBC"/>
    <w:rsid w:val="00246103"/>
    <w:rsid w:val="002516CA"/>
    <w:rsid w:val="00265985"/>
    <w:rsid w:val="00273523"/>
    <w:rsid w:val="00274821"/>
    <w:rsid w:val="00277A86"/>
    <w:rsid w:val="00282A1A"/>
    <w:rsid w:val="00285776"/>
    <w:rsid w:val="00286BDA"/>
    <w:rsid w:val="002914FB"/>
    <w:rsid w:val="0029302A"/>
    <w:rsid w:val="002A3DD0"/>
    <w:rsid w:val="002A3F5D"/>
    <w:rsid w:val="002A6F9F"/>
    <w:rsid w:val="002B47E3"/>
    <w:rsid w:val="002B4828"/>
    <w:rsid w:val="002B5C88"/>
    <w:rsid w:val="002C5FC9"/>
    <w:rsid w:val="002C671F"/>
    <w:rsid w:val="002D12B2"/>
    <w:rsid w:val="002D655B"/>
    <w:rsid w:val="002E4D72"/>
    <w:rsid w:val="002E562C"/>
    <w:rsid w:val="002E696C"/>
    <w:rsid w:val="002E7749"/>
    <w:rsid w:val="002F1E7C"/>
    <w:rsid w:val="002F35D2"/>
    <w:rsid w:val="0030112B"/>
    <w:rsid w:val="003220E2"/>
    <w:rsid w:val="00323AE1"/>
    <w:rsid w:val="0033049B"/>
    <w:rsid w:val="003471DB"/>
    <w:rsid w:val="003477DF"/>
    <w:rsid w:val="003503F9"/>
    <w:rsid w:val="003504D7"/>
    <w:rsid w:val="00353CF2"/>
    <w:rsid w:val="0035764A"/>
    <w:rsid w:val="00364029"/>
    <w:rsid w:val="00364F30"/>
    <w:rsid w:val="00374C69"/>
    <w:rsid w:val="00374FB0"/>
    <w:rsid w:val="00375992"/>
    <w:rsid w:val="003778CB"/>
    <w:rsid w:val="00383A27"/>
    <w:rsid w:val="003933C8"/>
    <w:rsid w:val="00396B6D"/>
    <w:rsid w:val="003A1101"/>
    <w:rsid w:val="003A604E"/>
    <w:rsid w:val="003A65D8"/>
    <w:rsid w:val="003B1273"/>
    <w:rsid w:val="003B7702"/>
    <w:rsid w:val="003C13A8"/>
    <w:rsid w:val="003C6C4E"/>
    <w:rsid w:val="003D0950"/>
    <w:rsid w:val="003E1887"/>
    <w:rsid w:val="003E4E6B"/>
    <w:rsid w:val="003E574D"/>
    <w:rsid w:val="003F0670"/>
    <w:rsid w:val="00402042"/>
    <w:rsid w:val="00420CFF"/>
    <w:rsid w:val="00423552"/>
    <w:rsid w:val="00432FE2"/>
    <w:rsid w:val="0043395F"/>
    <w:rsid w:val="004437B8"/>
    <w:rsid w:val="0045612D"/>
    <w:rsid w:val="00461B68"/>
    <w:rsid w:val="0046242E"/>
    <w:rsid w:val="00465C20"/>
    <w:rsid w:val="00476F89"/>
    <w:rsid w:val="00477534"/>
    <w:rsid w:val="00482496"/>
    <w:rsid w:val="004843CF"/>
    <w:rsid w:val="004843E0"/>
    <w:rsid w:val="00496481"/>
    <w:rsid w:val="004B404F"/>
    <w:rsid w:val="004B7574"/>
    <w:rsid w:val="004C1B67"/>
    <w:rsid w:val="004C3C8E"/>
    <w:rsid w:val="004C3DA8"/>
    <w:rsid w:val="004C5F38"/>
    <w:rsid w:val="004D6B87"/>
    <w:rsid w:val="004E3030"/>
    <w:rsid w:val="004F36EF"/>
    <w:rsid w:val="004F5238"/>
    <w:rsid w:val="004F5822"/>
    <w:rsid w:val="00502973"/>
    <w:rsid w:val="0051187D"/>
    <w:rsid w:val="00523F2D"/>
    <w:rsid w:val="005277C0"/>
    <w:rsid w:val="00536923"/>
    <w:rsid w:val="005414A1"/>
    <w:rsid w:val="005425B1"/>
    <w:rsid w:val="00543124"/>
    <w:rsid w:val="00543A93"/>
    <w:rsid w:val="0054789C"/>
    <w:rsid w:val="005547AE"/>
    <w:rsid w:val="005624FC"/>
    <w:rsid w:val="00572041"/>
    <w:rsid w:val="00575F33"/>
    <w:rsid w:val="00576228"/>
    <w:rsid w:val="00577B99"/>
    <w:rsid w:val="005830B2"/>
    <w:rsid w:val="005948AA"/>
    <w:rsid w:val="005A12A7"/>
    <w:rsid w:val="005A3CAF"/>
    <w:rsid w:val="005A4B4B"/>
    <w:rsid w:val="005A6FC5"/>
    <w:rsid w:val="005A74D0"/>
    <w:rsid w:val="005B0D9A"/>
    <w:rsid w:val="005B2120"/>
    <w:rsid w:val="005C15BC"/>
    <w:rsid w:val="005C4D2A"/>
    <w:rsid w:val="005C5498"/>
    <w:rsid w:val="005C7579"/>
    <w:rsid w:val="005D787E"/>
    <w:rsid w:val="005E2DF4"/>
    <w:rsid w:val="005F3C48"/>
    <w:rsid w:val="00610AE7"/>
    <w:rsid w:val="00614789"/>
    <w:rsid w:val="006150E1"/>
    <w:rsid w:val="00617FAC"/>
    <w:rsid w:val="00627EE1"/>
    <w:rsid w:val="00631149"/>
    <w:rsid w:val="00634B52"/>
    <w:rsid w:val="00636214"/>
    <w:rsid w:val="0064372A"/>
    <w:rsid w:val="00646171"/>
    <w:rsid w:val="006540AB"/>
    <w:rsid w:val="00654D43"/>
    <w:rsid w:val="00663577"/>
    <w:rsid w:val="006710DA"/>
    <w:rsid w:val="006775A2"/>
    <w:rsid w:val="00681D15"/>
    <w:rsid w:val="00683241"/>
    <w:rsid w:val="00684275"/>
    <w:rsid w:val="00690719"/>
    <w:rsid w:val="00691EAB"/>
    <w:rsid w:val="006927D5"/>
    <w:rsid w:val="00693A68"/>
    <w:rsid w:val="00695FCF"/>
    <w:rsid w:val="006A1F32"/>
    <w:rsid w:val="006B0EF1"/>
    <w:rsid w:val="006B443D"/>
    <w:rsid w:val="006B449D"/>
    <w:rsid w:val="006C377B"/>
    <w:rsid w:val="006C7548"/>
    <w:rsid w:val="006D7E11"/>
    <w:rsid w:val="006E05C2"/>
    <w:rsid w:val="006E4516"/>
    <w:rsid w:val="006E4E1F"/>
    <w:rsid w:val="006E653E"/>
    <w:rsid w:val="006E6BD7"/>
    <w:rsid w:val="00710291"/>
    <w:rsid w:val="00710EE2"/>
    <w:rsid w:val="00712143"/>
    <w:rsid w:val="007179A4"/>
    <w:rsid w:val="00721370"/>
    <w:rsid w:val="0072458E"/>
    <w:rsid w:val="007306A8"/>
    <w:rsid w:val="00731BF0"/>
    <w:rsid w:val="00742E5C"/>
    <w:rsid w:val="00744ACF"/>
    <w:rsid w:val="00745B7F"/>
    <w:rsid w:val="0074765D"/>
    <w:rsid w:val="0075201C"/>
    <w:rsid w:val="00772941"/>
    <w:rsid w:val="00783002"/>
    <w:rsid w:val="007871F9"/>
    <w:rsid w:val="00791F1F"/>
    <w:rsid w:val="007A2F31"/>
    <w:rsid w:val="007A3F51"/>
    <w:rsid w:val="007B21C5"/>
    <w:rsid w:val="007B23A4"/>
    <w:rsid w:val="007D24A9"/>
    <w:rsid w:val="007D28DC"/>
    <w:rsid w:val="007D76AF"/>
    <w:rsid w:val="007E0BCD"/>
    <w:rsid w:val="007F224C"/>
    <w:rsid w:val="008067F3"/>
    <w:rsid w:val="00810856"/>
    <w:rsid w:val="00812704"/>
    <w:rsid w:val="00814D04"/>
    <w:rsid w:val="008150C4"/>
    <w:rsid w:val="008274B3"/>
    <w:rsid w:val="00830994"/>
    <w:rsid w:val="00831845"/>
    <w:rsid w:val="00833AA0"/>
    <w:rsid w:val="00843D23"/>
    <w:rsid w:val="00851A97"/>
    <w:rsid w:val="0085221B"/>
    <w:rsid w:val="00852676"/>
    <w:rsid w:val="00863FF7"/>
    <w:rsid w:val="008707D7"/>
    <w:rsid w:val="00870F26"/>
    <w:rsid w:val="008712FD"/>
    <w:rsid w:val="0088102B"/>
    <w:rsid w:val="00884655"/>
    <w:rsid w:val="00885B1F"/>
    <w:rsid w:val="008967B3"/>
    <w:rsid w:val="008B43EE"/>
    <w:rsid w:val="008C248D"/>
    <w:rsid w:val="008C5213"/>
    <w:rsid w:val="008C7C58"/>
    <w:rsid w:val="008D1E2B"/>
    <w:rsid w:val="008D44D6"/>
    <w:rsid w:val="008E3A52"/>
    <w:rsid w:val="008F01FC"/>
    <w:rsid w:val="008F676C"/>
    <w:rsid w:val="00906977"/>
    <w:rsid w:val="009076FF"/>
    <w:rsid w:val="00916D46"/>
    <w:rsid w:val="0091737B"/>
    <w:rsid w:val="009178F5"/>
    <w:rsid w:val="009273B2"/>
    <w:rsid w:val="009324DF"/>
    <w:rsid w:val="00953932"/>
    <w:rsid w:val="009604C7"/>
    <w:rsid w:val="0096467C"/>
    <w:rsid w:val="0096646F"/>
    <w:rsid w:val="0098223D"/>
    <w:rsid w:val="00982E6F"/>
    <w:rsid w:val="00986FB6"/>
    <w:rsid w:val="009906AA"/>
    <w:rsid w:val="00991A87"/>
    <w:rsid w:val="009A7E86"/>
    <w:rsid w:val="009B211B"/>
    <w:rsid w:val="009B2785"/>
    <w:rsid w:val="009B705C"/>
    <w:rsid w:val="009C13CF"/>
    <w:rsid w:val="009D1D20"/>
    <w:rsid w:val="009E067F"/>
    <w:rsid w:val="009E47B8"/>
    <w:rsid w:val="009E654C"/>
    <w:rsid w:val="009E6F64"/>
    <w:rsid w:val="009F6C53"/>
    <w:rsid w:val="009F70DE"/>
    <w:rsid w:val="00A12E55"/>
    <w:rsid w:val="00A13E94"/>
    <w:rsid w:val="00A16F7F"/>
    <w:rsid w:val="00A21921"/>
    <w:rsid w:val="00A31D9C"/>
    <w:rsid w:val="00A426C5"/>
    <w:rsid w:val="00A440AB"/>
    <w:rsid w:val="00A5198C"/>
    <w:rsid w:val="00A51FA7"/>
    <w:rsid w:val="00A52AF3"/>
    <w:rsid w:val="00A52B10"/>
    <w:rsid w:val="00A56663"/>
    <w:rsid w:val="00A71028"/>
    <w:rsid w:val="00A76FE4"/>
    <w:rsid w:val="00A86691"/>
    <w:rsid w:val="00A90902"/>
    <w:rsid w:val="00A91BF0"/>
    <w:rsid w:val="00A9786E"/>
    <w:rsid w:val="00AA3289"/>
    <w:rsid w:val="00AC2C7D"/>
    <w:rsid w:val="00AD1FD7"/>
    <w:rsid w:val="00AD2F32"/>
    <w:rsid w:val="00AD6D26"/>
    <w:rsid w:val="00AD783A"/>
    <w:rsid w:val="00AF4211"/>
    <w:rsid w:val="00AF7FC1"/>
    <w:rsid w:val="00B048C4"/>
    <w:rsid w:val="00B0505A"/>
    <w:rsid w:val="00B053CC"/>
    <w:rsid w:val="00B1114F"/>
    <w:rsid w:val="00B120B7"/>
    <w:rsid w:val="00B129ED"/>
    <w:rsid w:val="00B13B77"/>
    <w:rsid w:val="00B17E72"/>
    <w:rsid w:val="00B20011"/>
    <w:rsid w:val="00B2037C"/>
    <w:rsid w:val="00B20B1E"/>
    <w:rsid w:val="00B2337B"/>
    <w:rsid w:val="00B250AD"/>
    <w:rsid w:val="00B27E56"/>
    <w:rsid w:val="00B3045B"/>
    <w:rsid w:val="00B416F3"/>
    <w:rsid w:val="00B47965"/>
    <w:rsid w:val="00B5744B"/>
    <w:rsid w:val="00B575FF"/>
    <w:rsid w:val="00B71D4F"/>
    <w:rsid w:val="00B75FE2"/>
    <w:rsid w:val="00B84FD7"/>
    <w:rsid w:val="00B87399"/>
    <w:rsid w:val="00B87620"/>
    <w:rsid w:val="00B9738A"/>
    <w:rsid w:val="00BA2E70"/>
    <w:rsid w:val="00BA6540"/>
    <w:rsid w:val="00BA766F"/>
    <w:rsid w:val="00BA7C06"/>
    <w:rsid w:val="00BB1D98"/>
    <w:rsid w:val="00BB2C5B"/>
    <w:rsid w:val="00BB435D"/>
    <w:rsid w:val="00BB7C25"/>
    <w:rsid w:val="00BC204A"/>
    <w:rsid w:val="00BD104F"/>
    <w:rsid w:val="00BE3A64"/>
    <w:rsid w:val="00BE5313"/>
    <w:rsid w:val="00BF0446"/>
    <w:rsid w:val="00BF27D1"/>
    <w:rsid w:val="00BF2804"/>
    <w:rsid w:val="00C00408"/>
    <w:rsid w:val="00C04B6D"/>
    <w:rsid w:val="00C11A99"/>
    <w:rsid w:val="00C160B3"/>
    <w:rsid w:val="00C2059D"/>
    <w:rsid w:val="00C26CA6"/>
    <w:rsid w:val="00C3123F"/>
    <w:rsid w:val="00C32B0A"/>
    <w:rsid w:val="00C32C96"/>
    <w:rsid w:val="00C33331"/>
    <w:rsid w:val="00C3699B"/>
    <w:rsid w:val="00C46E8E"/>
    <w:rsid w:val="00C47216"/>
    <w:rsid w:val="00C6340D"/>
    <w:rsid w:val="00C64468"/>
    <w:rsid w:val="00C65824"/>
    <w:rsid w:val="00C65A61"/>
    <w:rsid w:val="00C81694"/>
    <w:rsid w:val="00C8670E"/>
    <w:rsid w:val="00C90694"/>
    <w:rsid w:val="00C9206C"/>
    <w:rsid w:val="00CB0ED2"/>
    <w:rsid w:val="00CB16ED"/>
    <w:rsid w:val="00CB16FC"/>
    <w:rsid w:val="00CB50AA"/>
    <w:rsid w:val="00CB67E1"/>
    <w:rsid w:val="00CC1654"/>
    <w:rsid w:val="00CC3277"/>
    <w:rsid w:val="00CC4AB1"/>
    <w:rsid w:val="00CC7834"/>
    <w:rsid w:val="00CD4F64"/>
    <w:rsid w:val="00CE19C7"/>
    <w:rsid w:val="00CE4E01"/>
    <w:rsid w:val="00CE7E1D"/>
    <w:rsid w:val="00CF4351"/>
    <w:rsid w:val="00CF4DA2"/>
    <w:rsid w:val="00D027DC"/>
    <w:rsid w:val="00D04530"/>
    <w:rsid w:val="00D1011C"/>
    <w:rsid w:val="00D1214B"/>
    <w:rsid w:val="00D1501A"/>
    <w:rsid w:val="00D303B2"/>
    <w:rsid w:val="00D337CD"/>
    <w:rsid w:val="00D51D79"/>
    <w:rsid w:val="00D52267"/>
    <w:rsid w:val="00D527CC"/>
    <w:rsid w:val="00D615F1"/>
    <w:rsid w:val="00D64751"/>
    <w:rsid w:val="00D650B6"/>
    <w:rsid w:val="00D6625B"/>
    <w:rsid w:val="00D732E0"/>
    <w:rsid w:val="00D74582"/>
    <w:rsid w:val="00D751C8"/>
    <w:rsid w:val="00D80B6A"/>
    <w:rsid w:val="00D8788E"/>
    <w:rsid w:val="00D90346"/>
    <w:rsid w:val="00D92135"/>
    <w:rsid w:val="00DA6327"/>
    <w:rsid w:val="00DC142E"/>
    <w:rsid w:val="00DD03B4"/>
    <w:rsid w:val="00DD0755"/>
    <w:rsid w:val="00DD3F49"/>
    <w:rsid w:val="00DD46B3"/>
    <w:rsid w:val="00DD4E8A"/>
    <w:rsid w:val="00DD6777"/>
    <w:rsid w:val="00DE24ED"/>
    <w:rsid w:val="00DE6FC3"/>
    <w:rsid w:val="00DF0273"/>
    <w:rsid w:val="00DF123C"/>
    <w:rsid w:val="00E018C5"/>
    <w:rsid w:val="00E022CB"/>
    <w:rsid w:val="00E04A6D"/>
    <w:rsid w:val="00E04BCF"/>
    <w:rsid w:val="00E05C7D"/>
    <w:rsid w:val="00E14308"/>
    <w:rsid w:val="00E17E6B"/>
    <w:rsid w:val="00E2556D"/>
    <w:rsid w:val="00E2749D"/>
    <w:rsid w:val="00E45037"/>
    <w:rsid w:val="00E4665A"/>
    <w:rsid w:val="00E61F05"/>
    <w:rsid w:val="00E62457"/>
    <w:rsid w:val="00E723F1"/>
    <w:rsid w:val="00E757EF"/>
    <w:rsid w:val="00E83384"/>
    <w:rsid w:val="00E852EC"/>
    <w:rsid w:val="00E9190E"/>
    <w:rsid w:val="00E95DF7"/>
    <w:rsid w:val="00E96371"/>
    <w:rsid w:val="00EA444A"/>
    <w:rsid w:val="00EA7008"/>
    <w:rsid w:val="00EB2CE1"/>
    <w:rsid w:val="00EB35AE"/>
    <w:rsid w:val="00ED2C56"/>
    <w:rsid w:val="00ED5B2D"/>
    <w:rsid w:val="00EE24A5"/>
    <w:rsid w:val="00EF1345"/>
    <w:rsid w:val="00EF1B78"/>
    <w:rsid w:val="00F0091C"/>
    <w:rsid w:val="00F10564"/>
    <w:rsid w:val="00F15252"/>
    <w:rsid w:val="00F1703C"/>
    <w:rsid w:val="00F24B08"/>
    <w:rsid w:val="00F264BD"/>
    <w:rsid w:val="00F26A3A"/>
    <w:rsid w:val="00F42E0A"/>
    <w:rsid w:val="00F510C9"/>
    <w:rsid w:val="00F51792"/>
    <w:rsid w:val="00F51BB5"/>
    <w:rsid w:val="00F51DFD"/>
    <w:rsid w:val="00F57147"/>
    <w:rsid w:val="00F67838"/>
    <w:rsid w:val="00F730CD"/>
    <w:rsid w:val="00F81175"/>
    <w:rsid w:val="00F93920"/>
    <w:rsid w:val="00FA0313"/>
    <w:rsid w:val="00FA12CA"/>
    <w:rsid w:val="00FB3B08"/>
    <w:rsid w:val="00FB42CF"/>
    <w:rsid w:val="00FD0A98"/>
    <w:rsid w:val="00FD26E3"/>
    <w:rsid w:val="00FD3767"/>
    <w:rsid w:val="00FD40CC"/>
    <w:rsid w:val="00FD66D2"/>
    <w:rsid w:val="00FD7871"/>
    <w:rsid w:val="00FE19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7908A3"/>
  <w15:chartTrackingRefBased/>
  <w15:docId w15:val="{5E66D07B-C199-4DF7-80ED-6AF6679A1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4821"/>
    <w:rPr>
      <w:sz w:val="24"/>
      <w:szCs w:val="24"/>
    </w:rPr>
  </w:style>
  <w:style w:type="paragraph" w:styleId="Nadpis1">
    <w:name w:val="heading 1"/>
    <w:basedOn w:val="Normln"/>
    <w:next w:val="Normln"/>
    <w:link w:val="Nadpis1Char"/>
    <w:uiPriority w:val="9"/>
    <w:qFormat/>
    <w:rsid w:val="006E05C2"/>
    <w:pPr>
      <w:keepNext/>
      <w:keepLines/>
      <w:numPr>
        <w:numId w:val="6"/>
      </w:numPr>
      <w:spacing w:before="240" w:after="120"/>
      <w:ind w:left="357" w:hanging="357"/>
      <w:outlineLvl w:val="0"/>
    </w:pPr>
    <w:rPr>
      <w:rFonts w:asciiTheme="minorHAnsi" w:eastAsiaTheme="majorEastAsia" w:hAnsiTheme="minorHAnsi" w:cstheme="majorBidi"/>
      <w:b/>
      <w:sz w:val="28"/>
      <w:szCs w:val="32"/>
    </w:rPr>
  </w:style>
  <w:style w:type="paragraph" w:styleId="Nadpis2">
    <w:name w:val="heading 2"/>
    <w:basedOn w:val="Normln"/>
    <w:next w:val="Normln"/>
    <w:link w:val="Nadpis2Char"/>
    <w:uiPriority w:val="9"/>
    <w:unhideWhenUsed/>
    <w:qFormat/>
    <w:rsid w:val="006E05C2"/>
    <w:pPr>
      <w:keepNext/>
      <w:keepLines/>
      <w:numPr>
        <w:ilvl w:val="1"/>
        <w:numId w:val="7"/>
      </w:numPr>
      <w:spacing w:before="240" w:after="120"/>
      <w:ind w:left="431" w:hanging="431"/>
      <w:outlineLvl w:val="1"/>
    </w:pPr>
    <w:rPr>
      <w:rFonts w:asciiTheme="minorHAnsi" w:eastAsiaTheme="majorEastAsia" w:hAnsiTheme="minorHAnsi" w:cstheme="majorBidi"/>
      <w:b/>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List Paragraph"/>
    <w:basedOn w:val="Normln"/>
    <w:link w:val="OdstavecseseznamemChar"/>
    <w:uiPriority w:val="34"/>
    <w:qFormat/>
    <w:rsid w:val="00274821"/>
    <w:pPr>
      <w:ind w:left="720"/>
      <w:contextualSpacing/>
    </w:pPr>
  </w:style>
  <w:style w:type="character" w:customStyle="1" w:styleId="OdstavecseseznamemChar">
    <w:name w:val="Odstavec se seznamem Char"/>
    <w:aliases w:val="Conclusion de partie Char,List Paragraph Char"/>
    <w:link w:val="Odstavecseseznamem"/>
    <w:uiPriority w:val="34"/>
    <w:rsid w:val="00274821"/>
    <w:rPr>
      <w:sz w:val="24"/>
      <w:szCs w:val="24"/>
    </w:rPr>
  </w:style>
  <w:style w:type="table" w:styleId="Mkatabulky">
    <w:name w:val="Table Grid"/>
    <w:basedOn w:val="Normlntabulka"/>
    <w:uiPriority w:val="59"/>
    <w:rsid w:val="006B44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uiPriority w:val="10"/>
    <w:qFormat/>
    <w:rsid w:val="006B443D"/>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B443D"/>
    <w:rPr>
      <w:rFonts w:asciiTheme="majorHAnsi" w:eastAsiaTheme="majorEastAsia" w:hAnsiTheme="majorHAnsi" w:cstheme="majorBidi"/>
      <w:spacing w:val="-10"/>
      <w:kern w:val="28"/>
      <w:sz w:val="56"/>
      <w:szCs w:val="56"/>
    </w:rPr>
  </w:style>
  <w:style w:type="character" w:customStyle="1" w:styleId="Nadpis2Char">
    <w:name w:val="Nadpis 2 Char"/>
    <w:basedOn w:val="Standardnpsmoodstavce"/>
    <w:link w:val="Nadpis2"/>
    <w:uiPriority w:val="9"/>
    <w:rsid w:val="006E05C2"/>
    <w:rPr>
      <w:rFonts w:asciiTheme="minorHAnsi" w:eastAsiaTheme="majorEastAsia" w:hAnsiTheme="minorHAnsi" w:cstheme="majorBidi"/>
      <w:b/>
      <w:sz w:val="26"/>
      <w:szCs w:val="26"/>
    </w:rPr>
  </w:style>
  <w:style w:type="character" w:customStyle="1" w:styleId="Nadpis1Char">
    <w:name w:val="Nadpis 1 Char"/>
    <w:basedOn w:val="Standardnpsmoodstavce"/>
    <w:link w:val="Nadpis1"/>
    <w:uiPriority w:val="9"/>
    <w:rsid w:val="006E05C2"/>
    <w:rPr>
      <w:rFonts w:asciiTheme="minorHAnsi" w:eastAsiaTheme="majorEastAsia" w:hAnsiTheme="minorHAnsi" w:cstheme="majorBidi"/>
      <w:b/>
      <w:sz w:val="28"/>
      <w:szCs w:val="32"/>
    </w:rPr>
  </w:style>
  <w:style w:type="character" w:styleId="Odkaznakoment">
    <w:name w:val="annotation reference"/>
    <w:basedOn w:val="Standardnpsmoodstavce"/>
    <w:uiPriority w:val="99"/>
    <w:semiHidden/>
    <w:unhideWhenUsed/>
    <w:rsid w:val="009E6F64"/>
    <w:rPr>
      <w:sz w:val="16"/>
      <w:szCs w:val="16"/>
    </w:rPr>
  </w:style>
  <w:style w:type="paragraph" w:styleId="Textkomente">
    <w:name w:val="annotation text"/>
    <w:basedOn w:val="Normln"/>
    <w:link w:val="TextkomenteChar"/>
    <w:uiPriority w:val="99"/>
    <w:unhideWhenUsed/>
    <w:rsid w:val="009E6F64"/>
    <w:rPr>
      <w:sz w:val="20"/>
      <w:szCs w:val="20"/>
    </w:rPr>
  </w:style>
  <w:style w:type="character" w:customStyle="1" w:styleId="TextkomenteChar">
    <w:name w:val="Text komentáře Char"/>
    <w:basedOn w:val="Standardnpsmoodstavce"/>
    <w:link w:val="Textkomente"/>
    <w:uiPriority w:val="99"/>
    <w:rsid w:val="009E6F64"/>
  </w:style>
  <w:style w:type="paragraph" w:styleId="Pedmtkomente">
    <w:name w:val="annotation subject"/>
    <w:basedOn w:val="Textkomente"/>
    <w:next w:val="Textkomente"/>
    <w:link w:val="PedmtkomenteChar"/>
    <w:uiPriority w:val="99"/>
    <w:semiHidden/>
    <w:unhideWhenUsed/>
    <w:rsid w:val="009E6F64"/>
    <w:rPr>
      <w:b/>
      <w:bCs/>
    </w:rPr>
  </w:style>
  <w:style w:type="character" w:customStyle="1" w:styleId="PedmtkomenteChar">
    <w:name w:val="Předmět komentáře Char"/>
    <w:basedOn w:val="TextkomenteChar"/>
    <w:link w:val="Pedmtkomente"/>
    <w:uiPriority w:val="99"/>
    <w:semiHidden/>
    <w:rsid w:val="009E6F64"/>
    <w:rPr>
      <w:b/>
      <w:bCs/>
    </w:rPr>
  </w:style>
  <w:style w:type="paragraph" w:styleId="Textbubliny">
    <w:name w:val="Balloon Text"/>
    <w:basedOn w:val="Normln"/>
    <w:link w:val="TextbublinyChar"/>
    <w:uiPriority w:val="99"/>
    <w:semiHidden/>
    <w:unhideWhenUsed/>
    <w:rsid w:val="009E6F6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E6F64"/>
    <w:rPr>
      <w:rFonts w:ascii="Segoe UI" w:hAnsi="Segoe UI" w:cs="Segoe UI"/>
      <w:sz w:val="18"/>
      <w:szCs w:val="18"/>
    </w:rPr>
  </w:style>
  <w:style w:type="paragraph" w:styleId="Nadpisobsahu">
    <w:name w:val="TOC Heading"/>
    <w:basedOn w:val="Nadpis1"/>
    <w:next w:val="Normln"/>
    <w:uiPriority w:val="39"/>
    <w:unhideWhenUsed/>
    <w:qFormat/>
    <w:rsid w:val="006E05C2"/>
    <w:pPr>
      <w:numPr>
        <w:numId w:val="0"/>
      </w:numPr>
      <w:spacing w:after="0" w:line="259" w:lineRule="auto"/>
      <w:outlineLvl w:val="9"/>
    </w:pPr>
    <w:rPr>
      <w:rFonts w:asciiTheme="majorHAnsi" w:hAnsiTheme="majorHAnsi"/>
      <w:b w:val="0"/>
      <w:color w:val="365F91" w:themeColor="accent1" w:themeShade="BF"/>
      <w:sz w:val="32"/>
    </w:rPr>
  </w:style>
  <w:style w:type="paragraph" w:styleId="Obsah1">
    <w:name w:val="toc 1"/>
    <w:basedOn w:val="Normln"/>
    <w:next w:val="Normln"/>
    <w:autoRedefine/>
    <w:uiPriority w:val="39"/>
    <w:unhideWhenUsed/>
    <w:rsid w:val="006E05C2"/>
    <w:pPr>
      <w:spacing w:after="100"/>
    </w:pPr>
  </w:style>
  <w:style w:type="paragraph" w:styleId="Obsah2">
    <w:name w:val="toc 2"/>
    <w:basedOn w:val="Normln"/>
    <w:next w:val="Normln"/>
    <w:autoRedefine/>
    <w:uiPriority w:val="39"/>
    <w:unhideWhenUsed/>
    <w:rsid w:val="009324DF"/>
    <w:pPr>
      <w:tabs>
        <w:tab w:val="left" w:pos="880"/>
        <w:tab w:val="right" w:leader="dot" w:pos="9062"/>
      </w:tabs>
      <w:spacing w:after="100"/>
      <w:ind w:left="884" w:hanging="646"/>
    </w:pPr>
  </w:style>
  <w:style w:type="character" w:styleId="Hypertextovodkaz">
    <w:name w:val="Hyperlink"/>
    <w:basedOn w:val="Standardnpsmoodstavce"/>
    <w:uiPriority w:val="99"/>
    <w:unhideWhenUsed/>
    <w:rsid w:val="006E05C2"/>
    <w:rPr>
      <w:color w:val="0000FF" w:themeColor="hyperlink"/>
      <w:u w:val="single"/>
    </w:rPr>
  </w:style>
  <w:style w:type="paragraph" w:styleId="Zhlav">
    <w:name w:val="header"/>
    <w:basedOn w:val="Normln"/>
    <w:link w:val="ZhlavChar"/>
    <w:uiPriority w:val="99"/>
    <w:unhideWhenUsed/>
    <w:rsid w:val="00DD46B3"/>
    <w:pPr>
      <w:tabs>
        <w:tab w:val="center" w:pos="4536"/>
        <w:tab w:val="right" w:pos="9072"/>
      </w:tabs>
    </w:pPr>
  </w:style>
  <w:style w:type="character" w:customStyle="1" w:styleId="ZhlavChar">
    <w:name w:val="Záhlaví Char"/>
    <w:basedOn w:val="Standardnpsmoodstavce"/>
    <w:link w:val="Zhlav"/>
    <w:uiPriority w:val="99"/>
    <w:rsid w:val="00DD46B3"/>
    <w:rPr>
      <w:sz w:val="24"/>
      <w:szCs w:val="24"/>
    </w:rPr>
  </w:style>
  <w:style w:type="paragraph" w:styleId="Zpat">
    <w:name w:val="footer"/>
    <w:basedOn w:val="Normln"/>
    <w:link w:val="ZpatChar"/>
    <w:uiPriority w:val="99"/>
    <w:unhideWhenUsed/>
    <w:rsid w:val="00DD46B3"/>
    <w:pPr>
      <w:tabs>
        <w:tab w:val="center" w:pos="4536"/>
        <w:tab w:val="right" w:pos="9072"/>
      </w:tabs>
    </w:pPr>
  </w:style>
  <w:style w:type="character" w:customStyle="1" w:styleId="ZpatChar">
    <w:name w:val="Zápatí Char"/>
    <w:basedOn w:val="Standardnpsmoodstavce"/>
    <w:link w:val="Zpat"/>
    <w:uiPriority w:val="99"/>
    <w:rsid w:val="00DD46B3"/>
    <w:rPr>
      <w:sz w:val="24"/>
      <w:szCs w:val="24"/>
    </w:rPr>
  </w:style>
  <w:style w:type="character" w:styleId="Siln">
    <w:name w:val="Strong"/>
    <w:basedOn w:val="Standardnpsmoodstavce"/>
    <w:uiPriority w:val="22"/>
    <w:qFormat/>
    <w:rsid w:val="002B5C88"/>
    <w:rPr>
      <w:b/>
      <w:bCs/>
    </w:rPr>
  </w:style>
  <w:style w:type="paragraph" w:styleId="Revize">
    <w:name w:val="Revision"/>
    <w:hidden/>
    <w:uiPriority w:val="99"/>
    <w:semiHidden/>
    <w:rsid w:val="00783002"/>
    <w:rPr>
      <w:sz w:val="24"/>
      <w:szCs w:val="24"/>
    </w:rPr>
  </w:style>
  <w:style w:type="paragraph" w:styleId="Textpoznpodarou">
    <w:name w:val="footnote text"/>
    <w:basedOn w:val="Normln"/>
    <w:link w:val="TextpoznpodarouChar"/>
    <w:uiPriority w:val="99"/>
    <w:semiHidden/>
    <w:unhideWhenUsed/>
    <w:rsid w:val="00CD4F64"/>
    <w:rPr>
      <w:sz w:val="20"/>
      <w:szCs w:val="20"/>
    </w:rPr>
  </w:style>
  <w:style w:type="character" w:customStyle="1" w:styleId="TextpoznpodarouChar">
    <w:name w:val="Text pozn. pod čarou Char"/>
    <w:basedOn w:val="Standardnpsmoodstavce"/>
    <w:link w:val="Textpoznpodarou"/>
    <w:uiPriority w:val="99"/>
    <w:semiHidden/>
    <w:rsid w:val="00CD4F64"/>
  </w:style>
  <w:style w:type="character" w:styleId="Znakapoznpodarou">
    <w:name w:val="footnote reference"/>
    <w:basedOn w:val="Standardnpsmoodstavce"/>
    <w:uiPriority w:val="99"/>
    <w:semiHidden/>
    <w:unhideWhenUsed/>
    <w:rsid w:val="00CD4F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878964">
      <w:bodyDiv w:val="1"/>
      <w:marLeft w:val="0"/>
      <w:marRight w:val="0"/>
      <w:marTop w:val="0"/>
      <w:marBottom w:val="0"/>
      <w:divBdr>
        <w:top w:val="none" w:sz="0" w:space="0" w:color="auto"/>
        <w:left w:val="none" w:sz="0" w:space="0" w:color="auto"/>
        <w:bottom w:val="none" w:sz="0" w:space="0" w:color="auto"/>
        <w:right w:val="none" w:sz="0" w:space="0" w:color="auto"/>
      </w:divBdr>
    </w:div>
    <w:div w:id="1315061698">
      <w:bodyDiv w:val="1"/>
      <w:marLeft w:val="0"/>
      <w:marRight w:val="0"/>
      <w:marTop w:val="0"/>
      <w:marBottom w:val="0"/>
      <w:divBdr>
        <w:top w:val="none" w:sz="0" w:space="0" w:color="auto"/>
        <w:left w:val="none" w:sz="0" w:space="0" w:color="auto"/>
        <w:bottom w:val="none" w:sz="0" w:space="0" w:color="auto"/>
        <w:right w:val="none" w:sz="0" w:space="0" w:color="auto"/>
      </w:divBdr>
    </w:div>
    <w:div w:id="1338580952">
      <w:bodyDiv w:val="1"/>
      <w:marLeft w:val="0"/>
      <w:marRight w:val="0"/>
      <w:marTop w:val="0"/>
      <w:marBottom w:val="0"/>
      <w:divBdr>
        <w:top w:val="none" w:sz="0" w:space="0" w:color="auto"/>
        <w:left w:val="none" w:sz="0" w:space="0" w:color="auto"/>
        <w:bottom w:val="none" w:sz="0" w:space="0" w:color="auto"/>
        <w:right w:val="none" w:sz="0" w:space="0" w:color="auto"/>
      </w:divBdr>
      <w:divsChild>
        <w:div w:id="1016419396">
          <w:marLeft w:val="0"/>
          <w:marRight w:val="0"/>
          <w:marTop w:val="0"/>
          <w:marBottom w:val="0"/>
          <w:divBdr>
            <w:top w:val="none" w:sz="0" w:space="0" w:color="auto"/>
            <w:left w:val="none" w:sz="0" w:space="0" w:color="auto"/>
            <w:bottom w:val="none" w:sz="0" w:space="0" w:color="auto"/>
            <w:right w:val="none" w:sz="0" w:space="0" w:color="auto"/>
          </w:divBdr>
          <w:divsChild>
            <w:div w:id="98867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378278">
      <w:bodyDiv w:val="1"/>
      <w:marLeft w:val="0"/>
      <w:marRight w:val="0"/>
      <w:marTop w:val="0"/>
      <w:marBottom w:val="0"/>
      <w:divBdr>
        <w:top w:val="none" w:sz="0" w:space="0" w:color="auto"/>
        <w:left w:val="none" w:sz="0" w:space="0" w:color="auto"/>
        <w:bottom w:val="none" w:sz="0" w:space="0" w:color="auto"/>
        <w:right w:val="none" w:sz="0" w:space="0" w:color="auto"/>
      </w:divBdr>
    </w:div>
    <w:div w:id="1402099557">
      <w:bodyDiv w:val="1"/>
      <w:marLeft w:val="0"/>
      <w:marRight w:val="0"/>
      <w:marTop w:val="0"/>
      <w:marBottom w:val="0"/>
      <w:divBdr>
        <w:top w:val="none" w:sz="0" w:space="0" w:color="auto"/>
        <w:left w:val="none" w:sz="0" w:space="0" w:color="auto"/>
        <w:bottom w:val="none" w:sz="0" w:space="0" w:color="auto"/>
        <w:right w:val="none" w:sz="0" w:space="0" w:color="auto"/>
      </w:divBdr>
      <w:divsChild>
        <w:div w:id="473646444">
          <w:marLeft w:val="0"/>
          <w:marRight w:val="0"/>
          <w:marTop w:val="0"/>
          <w:marBottom w:val="0"/>
          <w:divBdr>
            <w:top w:val="none" w:sz="0" w:space="0" w:color="auto"/>
            <w:left w:val="none" w:sz="0" w:space="0" w:color="auto"/>
            <w:bottom w:val="none" w:sz="0" w:space="0" w:color="auto"/>
            <w:right w:val="none" w:sz="0" w:space="0" w:color="auto"/>
          </w:divBdr>
          <w:divsChild>
            <w:div w:id="19211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249464">
      <w:bodyDiv w:val="1"/>
      <w:marLeft w:val="0"/>
      <w:marRight w:val="0"/>
      <w:marTop w:val="0"/>
      <w:marBottom w:val="0"/>
      <w:divBdr>
        <w:top w:val="none" w:sz="0" w:space="0" w:color="auto"/>
        <w:left w:val="none" w:sz="0" w:space="0" w:color="auto"/>
        <w:bottom w:val="none" w:sz="0" w:space="0" w:color="auto"/>
        <w:right w:val="none" w:sz="0" w:space="0" w:color="auto"/>
      </w:divBdr>
    </w:div>
    <w:div w:id="1890997753">
      <w:bodyDiv w:val="1"/>
      <w:marLeft w:val="0"/>
      <w:marRight w:val="0"/>
      <w:marTop w:val="0"/>
      <w:marBottom w:val="0"/>
      <w:divBdr>
        <w:top w:val="none" w:sz="0" w:space="0" w:color="auto"/>
        <w:left w:val="none" w:sz="0" w:space="0" w:color="auto"/>
        <w:bottom w:val="none" w:sz="0" w:space="0" w:color="auto"/>
        <w:right w:val="none" w:sz="0" w:space="0" w:color="auto"/>
      </w:divBdr>
    </w:div>
    <w:div w:id="1960254648">
      <w:bodyDiv w:val="1"/>
      <w:marLeft w:val="0"/>
      <w:marRight w:val="0"/>
      <w:marTop w:val="0"/>
      <w:marBottom w:val="0"/>
      <w:divBdr>
        <w:top w:val="none" w:sz="0" w:space="0" w:color="auto"/>
        <w:left w:val="none" w:sz="0" w:space="0" w:color="auto"/>
        <w:bottom w:val="none" w:sz="0" w:space="0" w:color="auto"/>
        <w:right w:val="none" w:sz="0" w:space="0" w:color="auto"/>
      </w:divBdr>
    </w:div>
    <w:div w:id="2062245161">
      <w:bodyDiv w:val="1"/>
      <w:marLeft w:val="0"/>
      <w:marRight w:val="0"/>
      <w:marTop w:val="0"/>
      <w:marBottom w:val="0"/>
      <w:divBdr>
        <w:top w:val="none" w:sz="0" w:space="0" w:color="auto"/>
        <w:left w:val="none" w:sz="0" w:space="0" w:color="auto"/>
        <w:bottom w:val="none" w:sz="0" w:space="0" w:color="auto"/>
        <w:right w:val="none" w:sz="0" w:space="0" w:color="auto"/>
      </w:divBdr>
      <w:divsChild>
        <w:div w:id="1961835387">
          <w:marLeft w:val="0"/>
          <w:marRight w:val="0"/>
          <w:marTop w:val="0"/>
          <w:marBottom w:val="0"/>
          <w:divBdr>
            <w:top w:val="none" w:sz="0" w:space="0" w:color="auto"/>
            <w:left w:val="none" w:sz="0" w:space="0" w:color="auto"/>
            <w:bottom w:val="none" w:sz="0" w:space="0" w:color="auto"/>
            <w:right w:val="none" w:sz="0" w:space="0" w:color="auto"/>
          </w:divBdr>
          <w:divsChild>
            <w:div w:id="150493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F2009-CA7D-4FB8-A72C-051969CD1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20190</Words>
  <Characters>119123</Characters>
  <Application>Microsoft Office Word</Application>
  <DocSecurity>0</DocSecurity>
  <Lines>992</Lines>
  <Paragraphs>278</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139035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Šantín Vlastimil</dc:creator>
  <cp:keywords/>
  <dc:description/>
  <cp:lastModifiedBy>user</cp:lastModifiedBy>
  <cp:revision>2</cp:revision>
  <dcterms:created xsi:type="dcterms:W3CDTF">2019-01-29T08:45:00Z</dcterms:created>
  <dcterms:modified xsi:type="dcterms:W3CDTF">2019-01-29T08:45:00Z</dcterms:modified>
</cp:coreProperties>
</file>